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5" w:rsidRDefault="00B81AC5" w:rsidP="008B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8C8" w:rsidRDefault="008768C8" w:rsidP="008768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Gdańsk, dnia 09.09.2015 r.</w:t>
      </w:r>
    </w:p>
    <w:p w:rsidR="008768C8" w:rsidRDefault="008768C8" w:rsidP="008B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8C8" w:rsidRDefault="008768C8" w:rsidP="008B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005A" w:rsidRPr="00607C95" w:rsidRDefault="00C8005A" w:rsidP="00C8005A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C8005A" w:rsidRPr="00607C95" w:rsidRDefault="00C8005A" w:rsidP="00C8005A">
      <w:pPr>
        <w:jc w:val="right"/>
        <w:rPr>
          <w:sz w:val="20"/>
          <w:szCs w:val="20"/>
        </w:rPr>
      </w:pPr>
    </w:p>
    <w:p w:rsidR="00C532D8" w:rsidRPr="00C532D8" w:rsidRDefault="00C8005A" w:rsidP="00C532D8">
      <w:pPr>
        <w:pStyle w:val="Default"/>
        <w:spacing w:line="360" w:lineRule="auto"/>
        <w:rPr>
          <w:rFonts w:asciiTheme="minorHAnsi" w:hAnsiTheme="minorHAnsi" w:cs="Arial"/>
          <w:i/>
          <w:sz w:val="20"/>
          <w:szCs w:val="20"/>
        </w:rPr>
      </w:pPr>
      <w:r w:rsidRPr="00C532D8">
        <w:rPr>
          <w:rFonts w:asciiTheme="minorHAnsi" w:hAnsiTheme="minorHAnsi"/>
          <w:i/>
          <w:sz w:val="20"/>
          <w:szCs w:val="20"/>
        </w:rPr>
        <w:t xml:space="preserve">Dotyczy postępowania o zamówienie publiczne na </w:t>
      </w:r>
      <w:r w:rsidR="00C532D8" w:rsidRPr="00C532D8">
        <w:rPr>
          <w:rFonts w:asciiTheme="minorHAnsi" w:hAnsiTheme="minorHAnsi" w:cs="Arial"/>
          <w:i/>
          <w:sz w:val="20"/>
          <w:szCs w:val="20"/>
        </w:rPr>
        <w:t>dostawę klastra (węzła) obliczeniowego do budynku Instytutu Biotechnologii Uniwersytetu Gdańskiego</w:t>
      </w:r>
      <w:r w:rsidR="00C532D8" w:rsidRPr="00C532D8">
        <w:rPr>
          <w:rFonts w:asciiTheme="minorHAnsi" w:hAnsiTheme="minorHAnsi" w:cs="Arial"/>
          <w:i/>
          <w:sz w:val="20"/>
          <w:szCs w:val="20"/>
        </w:rPr>
        <w:t xml:space="preserve">, numer postępowania A120-211-116/15/JC, ogłoszonego </w:t>
      </w:r>
      <w:r w:rsidR="00C532D8">
        <w:rPr>
          <w:rFonts w:asciiTheme="minorHAnsi" w:hAnsiTheme="minorHAnsi" w:cs="Arial"/>
          <w:i/>
          <w:sz w:val="20"/>
          <w:szCs w:val="20"/>
        </w:rPr>
        <w:br/>
      </w:r>
      <w:r w:rsidR="00C532D8" w:rsidRPr="00C532D8">
        <w:rPr>
          <w:rFonts w:asciiTheme="minorHAnsi" w:hAnsiTheme="minorHAnsi" w:cs="Arial"/>
          <w:i/>
          <w:sz w:val="20"/>
          <w:szCs w:val="20"/>
        </w:rPr>
        <w:t xml:space="preserve">w </w:t>
      </w:r>
      <w:r w:rsidR="00C532D8" w:rsidRPr="00C532D8">
        <w:rPr>
          <w:rFonts w:asciiTheme="minorHAnsi" w:hAnsiTheme="minorHAnsi" w:cs="Arial"/>
          <w:i/>
          <w:sz w:val="20"/>
          <w:szCs w:val="20"/>
        </w:rPr>
        <w:t xml:space="preserve">Dzienniku Urzędowym Unii Europejskiej dnia  15.08.2015 roku pod numerem 2015/S 157-288401 </w:t>
      </w:r>
    </w:p>
    <w:p w:rsidR="00C532D8" w:rsidRDefault="00C532D8" w:rsidP="00C8005A">
      <w:pPr>
        <w:pStyle w:val="Default"/>
        <w:spacing w:line="360" w:lineRule="auto"/>
        <w:rPr>
          <w:rFonts w:asciiTheme="minorHAnsi" w:hAnsiTheme="minorHAnsi"/>
        </w:rPr>
      </w:pPr>
    </w:p>
    <w:p w:rsidR="00B81AC5" w:rsidRDefault="00B81AC5" w:rsidP="008B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AC5" w:rsidRDefault="00B81AC5" w:rsidP="008B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AC5" w:rsidRDefault="00B81AC5" w:rsidP="008B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4244" w:rsidRPr="000035ED" w:rsidRDefault="000035ED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035ED">
        <w:rPr>
          <w:rFonts w:ascii="Calibri" w:hAnsi="Calibri" w:cs="Calibri"/>
          <w:sz w:val="20"/>
          <w:szCs w:val="20"/>
        </w:rPr>
        <w:t>Pytanie  1:</w:t>
      </w:r>
    </w:p>
    <w:p w:rsidR="000035ED" w:rsidRPr="000035ED" w:rsidRDefault="000035ED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B4244" w:rsidRPr="000035ED" w:rsidRDefault="008B4244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035ED">
        <w:rPr>
          <w:rFonts w:ascii="Calibri" w:hAnsi="Calibri" w:cs="Calibri"/>
          <w:sz w:val="20"/>
          <w:szCs w:val="20"/>
        </w:rPr>
        <w:t>Dotyczy: Załącznik nr 2 do SIWZ, Serwery (obie konfiguracje), XI - Zasilanie</w:t>
      </w:r>
    </w:p>
    <w:p w:rsidR="008B4244" w:rsidRPr="000035ED" w:rsidRDefault="008B4244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035ED">
        <w:rPr>
          <w:rFonts w:ascii="Calibri" w:hAnsi="Calibri" w:cs="Calibri"/>
          <w:sz w:val="20"/>
          <w:szCs w:val="20"/>
        </w:rPr>
        <w:t>Pytanie 1: Zamawiający zawarł wymóg „Pojedynczy zasilacz, wymienny w czasie pracy”. Pragniemy zauważyć, że aby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zasilacz był wymienny podczas pracy musi istnieć redundancja (tj. co najmniej drugi zasilacz), a więc nie będzie on już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pojedynczy. Prosimy o wyjaśnienie tej sprzeczności i zmianę SIWZ.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Dodatkowo należy zwrócić uwagę, że producenci serwerów starają się używać takich jednostek zasilających jakie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wystarczają do zasilenia wszystkich oferowanych wewnątrz serwera podzespołów, więc określanie jakiej mocy nie może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przekroczyć zasilacz nie jest technicznie uzasadnione. Jeżeli Zamawiający przewiduje rozbudowę serwera (na co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wskazuje zapis o wolnym gnieździe PCI-E) jednocześnie nie precyzując np. maksymalnej TDP procesorów, może to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poskutkować sytuacją w której Zamawiający otrzyma serwer zgodny z SIWZ (czyli z zasilaczem o mocy nie większej niż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550W – aby uzmysłowić Zamawiającemu skalę problemu przyjmijmy, że zgodnie z SIWZ to może być zasilacz np. 250W)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jednak rozbudowa o dalsze dyski, pamięć czy karty rozszerzeń nie będzie już możliwa.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Dodatkowo zasilacz o większej mocy nie oznacza, że serwer będzie pobierał więcej energii elektrycznej, gdyż to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zastosowane podzespoły odpowiadają za pobór mocy, zasilacz jedynie ją przekazuje i przy tej samej konfiguracji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podzespołów serwer będzie pobierał taką samą ilość mocy niezależnie czy będzie wyposażony w zasilacz 250W czy np.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1000W</w:t>
      </w:r>
    </w:p>
    <w:p w:rsidR="000035ED" w:rsidRDefault="000035ED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C148F" w:rsidRDefault="00BC148F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Odpowiedź Zamawiającego:</w:t>
      </w:r>
    </w:p>
    <w:p w:rsidR="00BC148F" w:rsidRPr="00A65916" w:rsidRDefault="00BC148F" w:rsidP="00A65916">
      <w:pPr>
        <w:spacing w:line="360" w:lineRule="auto"/>
        <w:jc w:val="both"/>
        <w:rPr>
          <w:rFonts w:ascii="Calibri" w:hAnsi="Calibri"/>
          <w:color w:val="1F497D"/>
          <w:sz w:val="20"/>
          <w:szCs w:val="20"/>
        </w:rPr>
      </w:pPr>
      <w:r w:rsidRPr="00A65916">
        <w:rPr>
          <w:rFonts w:ascii="Calibri" w:hAnsi="Calibri"/>
          <w:color w:val="1F497D"/>
          <w:sz w:val="20"/>
          <w:szCs w:val="20"/>
        </w:rPr>
        <w:t>Zamawiający wymaga pojedynczego zasilacza z opcja wymiany na gorąco, bez koniecznej redundancji. Zastosowanie takiego rozwiązania ma ułatwić konserwację, pozwolić na swobodę rozbudowy i umożliwić wymianę zasilacza poprzez podstawienie w pełni sprawnego bez konieczności ryzyka wyłączania klastra podczas obliczeń. Zamawiający podtrzymuje również wymogi o mocy zasilacza nie większej niż 550 W. Moc maksymalna jest podana z powodu ograniczeń Zamawiającego  dla przyłącza energetycznego.</w:t>
      </w:r>
    </w:p>
    <w:p w:rsidR="00BC148F" w:rsidRDefault="00BC148F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D458D9" w:rsidRPr="000035ED" w:rsidRDefault="00D458D9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0035ED" w:rsidRPr="000035ED" w:rsidRDefault="000035ED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035ED">
        <w:rPr>
          <w:rFonts w:ascii="Calibri" w:hAnsi="Calibri" w:cs="Calibri"/>
          <w:sz w:val="20"/>
          <w:szCs w:val="20"/>
        </w:rPr>
        <w:lastRenderedPageBreak/>
        <w:t>Pytanie 2:</w:t>
      </w:r>
    </w:p>
    <w:p w:rsidR="000035ED" w:rsidRPr="000035ED" w:rsidRDefault="000035ED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B4244" w:rsidRPr="000035ED" w:rsidRDefault="008B4244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035ED">
        <w:rPr>
          <w:rFonts w:ascii="Calibri" w:hAnsi="Calibri" w:cs="Calibri"/>
          <w:sz w:val="20"/>
          <w:szCs w:val="20"/>
        </w:rPr>
        <w:t>Dotyczy: Załącznik nr 2 do SIWZ, Serwery 12 szt.</w:t>
      </w:r>
    </w:p>
    <w:p w:rsidR="008B4244" w:rsidRDefault="008B4244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035ED">
        <w:rPr>
          <w:rFonts w:ascii="Calibri" w:hAnsi="Calibri" w:cs="Calibri"/>
          <w:sz w:val="20"/>
          <w:szCs w:val="20"/>
        </w:rPr>
        <w:t>Pytanie 2: Czy Zamawiający uzna za równoważne jeżeli dostarczone zostaną systemy serwerowe wielowęzłowe lub w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technologii Blade, dla których byłby spełniony warunek, że na jeden węzeł obliczeniowy przypada nie więcej niż 1U</w:t>
      </w:r>
      <w:r w:rsidR="000035ED" w:rsidRPr="000035ED">
        <w:rPr>
          <w:rFonts w:ascii="Calibri" w:hAnsi="Calibri" w:cs="Calibri"/>
          <w:sz w:val="20"/>
          <w:szCs w:val="20"/>
        </w:rPr>
        <w:t xml:space="preserve"> </w:t>
      </w:r>
      <w:r w:rsidRPr="000035ED">
        <w:rPr>
          <w:rFonts w:ascii="Calibri" w:hAnsi="Calibri" w:cs="Calibri"/>
          <w:sz w:val="20"/>
          <w:szCs w:val="20"/>
        </w:rPr>
        <w:t>przestrzeni w szafie RACK i spełnione są wszystkie pozostałe wymagania?</w:t>
      </w:r>
    </w:p>
    <w:p w:rsidR="00A65916" w:rsidRDefault="00A65916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A65916" w:rsidRDefault="00A65916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Odpowiedź Zamawiającego:</w:t>
      </w:r>
    </w:p>
    <w:p w:rsidR="00A65916" w:rsidRDefault="00A65916" w:rsidP="00A65916">
      <w:pPr>
        <w:spacing w:line="360" w:lineRule="auto"/>
        <w:jc w:val="both"/>
        <w:rPr>
          <w:rFonts w:ascii="Calibri" w:hAnsi="Calibri"/>
          <w:color w:val="1F497D"/>
          <w:sz w:val="20"/>
          <w:szCs w:val="20"/>
        </w:rPr>
      </w:pPr>
      <w:r w:rsidRPr="00A65916">
        <w:rPr>
          <w:rFonts w:ascii="Calibri" w:hAnsi="Calibri"/>
          <w:color w:val="1F497D"/>
          <w:sz w:val="20"/>
          <w:szCs w:val="20"/>
        </w:rPr>
        <w:t xml:space="preserve">Zamawiający zgodnie z pkt. XIX </w:t>
      </w:r>
      <w:proofErr w:type="spellStart"/>
      <w:r w:rsidRPr="00A65916">
        <w:rPr>
          <w:rFonts w:ascii="Calibri" w:hAnsi="Calibri"/>
          <w:color w:val="1F497D"/>
          <w:sz w:val="20"/>
          <w:szCs w:val="20"/>
        </w:rPr>
        <w:t>ppkt</w:t>
      </w:r>
      <w:proofErr w:type="spellEnd"/>
      <w:r w:rsidRPr="00A65916">
        <w:rPr>
          <w:rFonts w:ascii="Calibri" w:hAnsi="Calibri"/>
          <w:color w:val="1F497D"/>
          <w:sz w:val="20"/>
          <w:szCs w:val="20"/>
        </w:rPr>
        <w:t>. 4 SIWZ nie dopuszcza rozwiązań równoważnych. Klaster ma służyć do wykonywania symultanicznych obliczeń w trybie ciągłym. W przypadku awarii pojedynczego serwera obliczenia dokonywane w klastrze mogą być kontynuowane. Zastosowanie obudowy i serwerów kasetowych mogłoby prowadzić do powstawania pojedynczego punktu awarii co uniemożliwiałby kontunuowanie badań.</w:t>
      </w:r>
    </w:p>
    <w:p w:rsidR="007456F4" w:rsidRDefault="007456F4" w:rsidP="00A65916">
      <w:pPr>
        <w:spacing w:line="360" w:lineRule="auto"/>
        <w:jc w:val="both"/>
        <w:rPr>
          <w:rFonts w:ascii="Calibri" w:hAnsi="Calibri"/>
          <w:color w:val="1F497D"/>
          <w:sz w:val="20"/>
          <w:szCs w:val="20"/>
        </w:rPr>
      </w:pPr>
    </w:p>
    <w:p w:rsidR="007456F4" w:rsidRDefault="007456F4" w:rsidP="00D458D9">
      <w:pPr>
        <w:spacing w:after="0" w:line="240" w:lineRule="auto"/>
        <w:ind w:firstLine="5670"/>
        <w:jc w:val="both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Z poważaniem,</w:t>
      </w:r>
    </w:p>
    <w:p w:rsidR="00D458D9" w:rsidRDefault="00D458D9" w:rsidP="00D458D9">
      <w:pPr>
        <w:spacing w:after="0" w:line="240" w:lineRule="auto"/>
        <w:ind w:firstLine="5670"/>
        <w:jc w:val="both"/>
        <w:rPr>
          <w:rFonts w:ascii="Calibri" w:hAnsi="Calibri"/>
          <w:color w:val="1F497D"/>
          <w:sz w:val="20"/>
          <w:szCs w:val="20"/>
        </w:rPr>
      </w:pPr>
    </w:p>
    <w:p w:rsidR="007456F4" w:rsidRDefault="007456F4" w:rsidP="00D458D9">
      <w:pPr>
        <w:spacing w:after="0" w:line="360" w:lineRule="auto"/>
        <w:ind w:firstLine="5670"/>
        <w:jc w:val="both"/>
        <w:rPr>
          <w:rFonts w:ascii="Calibri" w:hAnsi="Calibri"/>
          <w:color w:val="1F497D"/>
          <w:sz w:val="20"/>
          <w:szCs w:val="20"/>
        </w:rPr>
      </w:pPr>
      <w:bookmarkStart w:id="0" w:name="_GoBack"/>
      <w:r>
        <w:rPr>
          <w:rFonts w:ascii="Calibri" w:hAnsi="Calibri"/>
          <w:color w:val="1F497D"/>
          <w:sz w:val="20"/>
          <w:szCs w:val="20"/>
        </w:rPr>
        <w:t>W imieniu Zamawiającego</w:t>
      </w:r>
    </w:p>
    <w:p w:rsidR="007456F4" w:rsidRPr="007456F4" w:rsidRDefault="007456F4" w:rsidP="00D458D9">
      <w:pPr>
        <w:spacing w:after="0" w:line="360" w:lineRule="auto"/>
        <w:ind w:firstLine="5670"/>
        <w:jc w:val="both"/>
        <w:rPr>
          <w:i/>
          <w:sz w:val="20"/>
          <w:szCs w:val="20"/>
        </w:rPr>
      </w:pPr>
      <w:r w:rsidRPr="007456F4">
        <w:rPr>
          <w:rFonts w:ascii="Calibri" w:hAnsi="Calibri"/>
          <w:i/>
          <w:color w:val="1F497D"/>
          <w:sz w:val="20"/>
          <w:szCs w:val="20"/>
        </w:rPr>
        <w:t>Joanna Cierpisz</w:t>
      </w:r>
    </w:p>
    <w:bookmarkEnd w:id="0"/>
    <w:p w:rsidR="00A65916" w:rsidRPr="000035ED" w:rsidRDefault="00A65916" w:rsidP="000035E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A65916" w:rsidRPr="00003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F4" w:rsidRDefault="007456F4" w:rsidP="007456F4">
      <w:pPr>
        <w:spacing w:after="0" w:line="240" w:lineRule="auto"/>
      </w:pPr>
      <w:r>
        <w:separator/>
      </w:r>
    </w:p>
  </w:endnote>
  <w:endnote w:type="continuationSeparator" w:id="0">
    <w:p w:rsidR="007456F4" w:rsidRDefault="007456F4" w:rsidP="0074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F4" w:rsidRPr="008768C8" w:rsidRDefault="008768C8" w:rsidP="008768C8">
    <w:pPr>
      <w:pStyle w:val="Stopka"/>
      <w:ind w:firstLine="708"/>
      <w:jc w:val="center"/>
      <w:rPr>
        <w:sz w:val="20"/>
        <w:szCs w:val="20"/>
      </w:rPr>
    </w:pPr>
    <w:r w:rsidRPr="008768C8">
      <w:rPr>
        <w:sz w:val="20"/>
        <w:szCs w:val="20"/>
      </w:rPr>
      <w:t>Uniwersytet Gdański, 80-309 Gdańsk, ul. Bażyńskiego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F4" w:rsidRDefault="007456F4" w:rsidP="007456F4">
      <w:pPr>
        <w:spacing w:after="0" w:line="240" w:lineRule="auto"/>
      </w:pPr>
      <w:r>
        <w:separator/>
      </w:r>
    </w:p>
  </w:footnote>
  <w:footnote w:type="continuationSeparator" w:id="0">
    <w:p w:rsidR="007456F4" w:rsidRDefault="007456F4" w:rsidP="0074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F4" w:rsidRPr="007456F4" w:rsidRDefault="007456F4" w:rsidP="007456F4">
    <w:pPr>
      <w:pStyle w:val="Nagwek"/>
      <w:jc w:val="center"/>
      <w:rPr>
        <w:sz w:val="20"/>
        <w:szCs w:val="20"/>
      </w:rPr>
    </w:pPr>
    <w:r w:rsidRPr="007456F4">
      <w:rPr>
        <w:sz w:val="20"/>
        <w:szCs w:val="20"/>
      </w:rPr>
      <w:t>Zam. A120-211-116/15/JC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44"/>
    <w:rsid w:val="000035ED"/>
    <w:rsid w:val="007456F4"/>
    <w:rsid w:val="008768C8"/>
    <w:rsid w:val="008B4244"/>
    <w:rsid w:val="00A65916"/>
    <w:rsid w:val="00B32255"/>
    <w:rsid w:val="00B81AC5"/>
    <w:rsid w:val="00BB1498"/>
    <w:rsid w:val="00BC148F"/>
    <w:rsid w:val="00C532D8"/>
    <w:rsid w:val="00C8005A"/>
    <w:rsid w:val="00D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05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6F4"/>
  </w:style>
  <w:style w:type="paragraph" w:styleId="Stopka">
    <w:name w:val="footer"/>
    <w:basedOn w:val="Normalny"/>
    <w:link w:val="StopkaZnak"/>
    <w:uiPriority w:val="99"/>
    <w:unhideWhenUsed/>
    <w:rsid w:val="0074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05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6F4"/>
  </w:style>
  <w:style w:type="paragraph" w:styleId="Stopka">
    <w:name w:val="footer"/>
    <w:basedOn w:val="Normalny"/>
    <w:link w:val="StopkaZnak"/>
    <w:uiPriority w:val="99"/>
    <w:unhideWhenUsed/>
    <w:rsid w:val="0074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9FDBEA34</Template>
  <TotalTime>43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15</cp:revision>
  <dcterms:created xsi:type="dcterms:W3CDTF">2015-09-09T11:21:00Z</dcterms:created>
  <dcterms:modified xsi:type="dcterms:W3CDTF">2015-09-09T12:23:00Z</dcterms:modified>
</cp:coreProperties>
</file>