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B521A7" w:rsidRDefault="00703922" w:rsidP="00B521A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21A7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B521A7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B521A7" w:rsidRDefault="00887820" w:rsidP="00B521A7">
      <w:pPr>
        <w:tabs>
          <w:tab w:val="left" w:pos="-993"/>
        </w:tabs>
        <w:spacing w:line="276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B521A7" w:rsidRPr="00B521A7" w:rsidRDefault="00B521A7" w:rsidP="00B521A7">
      <w:pPr>
        <w:tabs>
          <w:tab w:val="left" w:pos="-993"/>
        </w:tabs>
        <w:spacing w:line="276" w:lineRule="auto"/>
        <w:ind w:left="284" w:right="429"/>
        <w:contextualSpacing/>
        <w:jc w:val="center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b/>
          <w:sz w:val="22"/>
          <w:szCs w:val="22"/>
        </w:rPr>
        <w:t>Dostawa urządzenia do namnażania kultur drobnoustrojów w hodowli płynnej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1A7" w:rsidRPr="00B521A7" w:rsidRDefault="00B521A7" w:rsidP="00B5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1A7" w:rsidRDefault="00B521A7" w:rsidP="00B5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Urządzenie do namnażania kultur bakteryjnych w hodowlach płynnych z wytrząsaniem </w:t>
      </w:r>
      <w:r>
        <w:rPr>
          <w:rFonts w:ascii="Arial" w:hAnsi="Arial" w:cs="Arial"/>
          <w:sz w:val="22"/>
          <w:szCs w:val="22"/>
        </w:rPr>
        <w:br/>
      </w:r>
      <w:r w:rsidRPr="00B521A7">
        <w:rPr>
          <w:rFonts w:ascii="Arial" w:hAnsi="Arial" w:cs="Arial"/>
          <w:sz w:val="22"/>
          <w:szCs w:val="22"/>
        </w:rPr>
        <w:t>oraz możliwością regulacji temperatury w zakresie 20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 poniżej temp. otoczenia do +80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:</w:t>
      </w:r>
    </w:p>
    <w:p w:rsidR="00B521A7" w:rsidRDefault="00B521A7" w:rsidP="00B5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Inkubator z wytrząsaniem i chłodzeniem lub podgrzewaniem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Możliwość ustawienia do 2 jednostek jedna na drugiej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E11F8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Średnica orbity wytrząsania 2-3</w:t>
      </w:r>
      <w:r w:rsidR="00B521A7" w:rsidRPr="00B521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21A7" w:rsidRPr="00B521A7">
        <w:rPr>
          <w:rFonts w:ascii="Arial" w:hAnsi="Arial" w:cs="Arial"/>
          <w:sz w:val="22"/>
          <w:szCs w:val="22"/>
        </w:rPr>
        <w:t>cm</w:t>
      </w:r>
      <w:proofErr w:type="spellEnd"/>
      <w:r w:rsidR="00B521A7"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Obroty min. 25-400 </w:t>
      </w:r>
      <w:proofErr w:type="spellStart"/>
      <w:r w:rsidRPr="00B521A7">
        <w:rPr>
          <w:rFonts w:ascii="Arial" w:hAnsi="Arial" w:cs="Arial"/>
          <w:sz w:val="22"/>
          <w:szCs w:val="22"/>
        </w:rPr>
        <w:t>obr</w:t>
      </w:r>
      <w:proofErr w:type="spellEnd"/>
      <w:r w:rsidRPr="00B521A7">
        <w:rPr>
          <w:rFonts w:ascii="Arial" w:hAnsi="Arial" w:cs="Arial"/>
          <w:sz w:val="22"/>
          <w:szCs w:val="22"/>
        </w:rPr>
        <w:t>/min</w:t>
      </w:r>
      <w:r>
        <w:rPr>
          <w:rFonts w:ascii="Arial" w:hAnsi="Arial" w:cs="Arial"/>
          <w:sz w:val="22"/>
          <w:szCs w:val="22"/>
        </w:rPr>
        <w:t>.</w:t>
      </w:r>
      <w:r w:rsidRPr="00B521A7">
        <w:rPr>
          <w:rFonts w:ascii="Arial" w:hAnsi="Arial" w:cs="Arial"/>
          <w:sz w:val="22"/>
          <w:szCs w:val="22"/>
        </w:rPr>
        <w:t xml:space="preserve"> 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Zakres temperatury 20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 poniżej temp. otoczenia do +80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Jednorodność temperatury +/- 0.25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 w 37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Alarm wizualny i dźwiękowy, gdy prędkość odbiega od wartości zadanej o min. 5 </w:t>
      </w:r>
      <w:proofErr w:type="spellStart"/>
      <w:r w:rsidRPr="00B521A7">
        <w:rPr>
          <w:rFonts w:ascii="Arial" w:hAnsi="Arial" w:cs="Arial"/>
          <w:sz w:val="22"/>
          <w:szCs w:val="22"/>
        </w:rPr>
        <w:t>rpm</w:t>
      </w:r>
      <w:proofErr w:type="spellEnd"/>
      <w:r w:rsidRPr="00B521A7">
        <w:rPr>
          <w:rFonts w:ascii="Arial" w:hAnsi="Arial" w:cs="Arial"/>
          <w:sz w:val="22"/>
          <w:szCs w:val="22"/>
        </w:rPr>
        <w:t xml:space="preserve"> lub gdy temperatura odbiega od wartości zadanej o min. 1 </w:t>
      </w:r>
      <w:r w:rsidRPr="00B521A7">
        <w:rPr>
          <w:rFonts w:ascii="Arial" w:hAnsi="Arial" w:cs="Arial"/>
          <w:sz w:val="22"/>
          <w:szCs w:val="22"/>
        </w:rPr>
        <w:sym w:font="Symbol" w:char="F0B0"/>
      </w:r>
      <w:r w:rsidRPr="00B521A7">
        <w:rPr>
          <w:rFonts w:ascii="Arial" w:hAnsi="Arial" w:cs="Arial"/>
          <w:sz w:val="22"/>
          <w:szCs w:val="22"/>
        </w:rPr>
        <w:t>C z możliwością wyciszenia alarmu dźwiękowego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Platforma uniwersalna o wymiarach min. 46 x </w:t>
      </w:r>
      <w:smartTag w:uri="urn:schemas-microsoft-com:office:smarttags" w:element="metricconverter">
        <w:smartTagPr>
          <w:attr w:name="ProductID" w:val="46 cm"/>
        </w:smartTagPr>
        <w:r w:rsidRPr="00B521A7">
          <w:rPr>
            <w:rFonts w:ascii="Arial" w:hAnsi="Arial" w:cs="Arial"/>
            <w:sz w:val="22"/>
            <w:szCs w:val="22"/>
          </w:rPr>
          <w:t>46 cm</w:t>
        </w:r>
      </w:smartTag>
      <w:r w:rsidRPr="00B521A7">
        <w:rPr>
          <w:rFonts w:ascii="Arial" w:hAnsi="Arial" w:cs="Arial"/>
          <w:sz w:val="22"/>
          <w:szCs w:val="22"/>
        </w:rPr>
        <w:t xml:space="preserve"> umożliwiająca zamontowanie różnych statywów (na kolby o różnej pojemności hodowli)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Urządzenie powinno być kompatybilne (możliwość montażu)  z  platformą do wytrząsania </w:t>
      </w:r>
      <w:r w:rsidR="00E11F87">
        <w:rPr>
          <w:rFonts w:ascii="Arial" w:hAnsi="Arial" w:cs="Arial"/>
          <w:sz w:val="22"/>
          <w:szCs w:val="22"/>
        </w:rPr>
        <w:br/>
      </w:r>
      <w:r w:rsidRPr="00B521A7">
        <w:rPr>
          <w:rFonts w:ascii="Arial" w:hAnsi="Arial" w:cs="Arial"/>
          <w:sz w:val="22"/>
          <w:szCs w:val="22"/>
        </w:rPr>
        <w:t>oraz uchwytami na kolby stosowanymi  w wytrząsarce INNOVA 4</w:t>
      </w:r>
      <w:r>
        <w:rPr>
          <w:rFonts w:ascii="Arial" w:hAnsi="Arial" w:cs="Arial"/>
          <w:sz w:val="22"/>
          <w:szCs w:val="22"/>
        </w:rPr>
        <w:t> </w:t>
      </w:r>
      <w:r w:rsidRPr="00B521A7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Możliwość zaprogramowania min. czterech piętnastostopniowych programów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Możliwość ustawienia czasu w zakresie nie mniejszym niż 0.1 do 99.9 godzin oraz pracy ciągłej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Zatrzymywanie wytrząsania podczas otwierania drzwi</w:t>
      </w:r>
      <w:r>
        <w:rPr>
          <w:rFonts w:ascii="Arial" w:hAnsi="Arial" w:cs="Arial"/>
          <w:sz w:val="22"/>
          <w:szCs w:val="22"/>
        </w:rPr>
        <w:t>.</w:t>
      </w:r>
      <w:r w:rsidRPr="00B521A7">
        <w:rPr>
          <w:rFonts w:ascii="Arial" w:hAnsi="Arial" w:cs="Arial"/>
          <w:sz w:val="22"/>
          <w:szCs w:val="22"/>
        </w:rPr>
        <w:t xml:space="preserve"> 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Żeliwny, wyważony napęd potrójnie mimośrodowy z </w:t>
      </w:r>
      <w:r w:rsidR="00E11F87">
        <w:rPr>
          <w:rFonts w:ascii="Arial" w:hAnsi="Arial" w:cs="Arial"/>
          <w:sz w:val="22"/>
          <w:szCs w:val="22"/>
        </w:rPr>
        <w:t xml:space="preserve">minimum </w:t>
      </w:r>
      <w:r w:rsidRPr="00B521A7">
        <w:rPr>
          <w:rFonts w:ascii="Arial" w:hAnsi="Arial" w:cs="Arial"/>
          <w:sz w:val="22"/>
          <w:szCs w:val="22"/>
        </w:rPr>
        <w:t>dziewięcioma stale smarowanymi łożyskami kulkowymi gwarantujący płynny ruch i stabilność.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Potrójna szyba termiczna w drzwiach przednich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Wewnętrzne oświetlenie komory, możliwość trybu „włączone”, „wyłączone”, „włączone przy otwartych drzwiach, albo wyłączone przy zamkniętych drzwiach”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Automatyczny restart po braku zasilania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Dostępne tryby pracy: stała prędkość i temperatura; wytrząsanie w zaprogramowanym czasie </w:t>
      </w:r>
      <w:r w:rsidR="00D829BB">
        <w:rPr>
          <w:rFonts w:ascii="Arial" w:hAnsi="Arial" w:cs="Arial"/>
          <w:sz w:val="22"/>
          <w:szCs w:val="22"/>
        </w:rPr>
        <w:br/>
      </w:r>
      <w:r w:rsidRPr="00B521A7">
        <w:rPr>
          <w:rFonts w:ascii="Arial" w:hAnsi="Arial" w:cs="Arial"/>
          <w:sz w:val="22"/>
          <w:szCs w:val="22"/>
        </w:rPr>
        <w:t>i temperaturze; program wieloetapowy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Interfejs RS-232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Wymiary (szer. x gł. x wys.) </w:t>
      </w:r>
      <w:proofErr w:type="spellStart"/>
      <w:r w:rsidRPr="00B521A7">
        <w:rPr>
          <w:rFonts w:ascii="Arial" w:hAnsi="Arial" w:cs="Arial"/>
          <w:sz w:val="22"/>
          <w:szCs w:val="22"/>
        </w:rPr>
        <w:t>max</w:t>
      </w:r>
      <w:proofErr w:type="spellEnd"/>
      <w:r w:rsidRPr="00B521A7">
        <w:rPr>
          <w:rFonts w:ascii="Arial" w:hAnsi="Arial" w:cs="Arial"/>
          <w:sz w:val="22"/>
          <w:szCs w:val="22"/>
        </w:rPr>
        <w:t xml:space="preserve">. 63 x 76 x </w:t>
      </w:r>
      <w:smartTag w:uri="urn:schemas-microsoft-com:office:smarttags" w:element="metricconverter">
        <w:smartTagPr>
          <w:attr w:name="ProductID" w:val="84 cm"/>
        </w:smartTagPr>
        <w:r w:rsidRPr="00B521A7">
          <w:rPr>
            <w:rFonts w:ascii="Arial" w:hAnsi="Arial" w:cs="Arial"/>
            <w:sz w:val="22"/>
            <w:szCs w:val="22"/>
          </w:rPr>
          <w:t>84 cm</w:t>
        </w:r>
      </w:smartTag>
      <w:r w:rsidRPr="00B521A7">
        <w:rPr>
          <w:rFonts w:ascii="Arial" w:hAnsi="Arial" w:cs="Arial"/>
          <w:sz w:val="22"/>
          <w:szCs w:val="22"/>
        </w:rPr>
        <w:t xml:space="preserve"> (głębokość po otwarciu drzwi </w:t>
      </w:r>
      <w:proofErr w:type="spellStart"/>
      <w:r w:rsidRPr="00B521A7">
        <w:rPr>
          <w:rFonts w:ascii="Arial" w:hAnsi="Arial" w:cs="Arial"/>
          <w:sz w:val="22"/>
          <w:szCs w:val="22"/>
        </w:rPr>
        <w:t>max</w:t>
      </w:r>
      <w:proofErr w:type="spellEnd"/>
      <w:r w:rsidRPr="00B521A7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32 cm"/>
        </w:smartTagPr>
        <w:r w:rsidRPr="00B521A7">
          <w:rPr>
            <w:rFonts w:ascii="Arial" w:hAnsi="Arial" w:cs="Arial"/>
            <w:sz w:val="22"/>
            <w:szCs w:val="22"/>
          </w:rPr>
          <w:t>132 cm</w:t>
        </w:r>
      </w:smartTag>
      <w:r w:rsidRPr="00B521A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Waga bez wyposażenia </w:t>
      </w:r>
      <w:proofErr w:type="spellStart"/>
      <w:r w:rsidRPr="00B521A7">
        <w:rPr>
          <w:rFonts w:ascii="Arial" w:hAnsi="Arial" w:cs="Arial"/>
          <w:sz w:val="22"/>
          <w:szCs w:val="22"/>
        </w:rPr>
        <w:t>max</w:t>
      </w:r>
      <w:proofErr w:type="spellEnd"/>
      <w:r w:rsidRPr="00B521A7">
        <w:rPr>
          <w:rFonts w:ascii="Arial" w:hAnsi="Arial" w:cs="Arial"/>
          <w:sz w:val="22"/>
          <w:szCs w:val="22"/>
        </w:rPr>
        <w:t xml:space="preserve">. 121 </w:t>
      </w:r>
      <w:proofErr w:type="spellStart"/>
      <w:r w:rsidRPr="00B521A7">
        <w:rPr>
          <w:rFonts w:ascii="Arial" w:hAnsi="Arial" w:cs="Arial"/>
          <w:sz w:val="22"/>
          <w:szCs w:val="22"/>
        </w:rPr>
        <w:t>kg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Przechowywanie zapamiętanych programów także po wyłączeniu zasilania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Wbudowany zbiornik wody nawilżający komorę, ograniczający parowanie próbek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Wyposażona w uchwyty na kolby </w:t>
      </w:r>
      <w:proofErr w:type="spellStart"/>
      <w:r w:rsidRPr="00B521A7">
        <w:rPr>
          <w:rFonts w:ascii="Arial" w:hAnsi="Arial" w:cs="Arial"/>
          <w:sz w:val="22"/>
          <w:szCs w:val="22"/>
        </w:rPr>
        <w:t>Erlenmeyera</w:t>
      </w:r>
      <w:proofErr w:type="spellEnd"/>
      <w:r w:rsidRPr="00B521A7">
        <w:rPr>
          <w:rFonts w:ascii="Arial" w:hAnsi="Arial" w:cs="Arial"/>
          <w:sz w:val="22"/>
          <w:szCs w:val="22"/>
        </w:rPr>
        <w:t xml:space="preserve"> o pojemności: 500 ml (min. 2szt.), </w:t>
      </w:r>
      <w:r w:rsidR="00D829BB">
        <w:rPr>
          <w:rFonts w:ascii="Arial" w:hAnsi="Arial" w:cs="Arial"/>
          <w:sz w:val="22"/>
          <w:szCs w:val="22"/>
        </w:rPr>
        <w:br/>
      </w:r>
      <w:r w:rsidRPr="00B521A7">
        <w:rPr>
          <w:rFonts w:ascii="Arial" w:hAnsi="Arial" w:cs="Arial"/>
          <w:sz w:val="22"/>
          <w:szCs w:val="22"/>
        </w:rPr>
        <w:t>250 ml (min.3 szt.), 125ml (min. 12szt)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>Nie wymaga podłączenia do innych mediów oprócz zasilania 230V/50Hz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B521A7" w:rsidP="00B5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1A7" w:rsidRPr="00B521A7" w:rsidRDefault="00B521A7" w:rsidP="00B521A7">
      <w:pPr>
        <w:tabs>
          <w:tab w:val="left" w:pos="-993"/>
        </w:tabs>
        <w:spacing w:line="276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sectPr w:rsidR="00B521A7" w:rsidRPr="00B521A7" w:rsidSect="007642C1">
      <w:headerReference w:type="default" r:id="rId8"/>
      <w:footerReference w:type="default" r:id="rId9"/>
      <w:pgSz w:w="11906" w:h="16838"/>
      <w:pgMar w:top="851" w:right="849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BA" w:rsidRDefault="00C01ABA" w:rsidP="00353E87">
      <w:r>
        <w:separator/>
      </w:r>
    </w:p>
  </w:endnote>
  <w:endnote w:type="continuationSeparator" w:id="0">
    <w:p w:rsidR="00C01ABA" w:rsidRDefault="00C01ABA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5" w:rsidRPr="002A4013" w:rsidRDefault="00134555" w:rsidP="00451B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2A4013">
      <w:rPr>
        <w:rFonts w:ascii="Arial" w:hAnsi="Arial" w:cs="Arial"/>
        <w:sz w:val="18"/>
        <w:szCs w:val="18"/>
      </w:rPr>
      <w:t>Uniwersytet Gdański, Dział Zamówień</w:t>
    </w:r>
    <w:r w:rsidR="00D829BB">
      <w:rPr>
        <w:rFonts w:ascii="Arial" w:hAnsi="Arial" w:cs="Arial"/>
        <w:sz w:val="18"/>
        <w:szCs w:val="18"/>
      </w:rPr>
      <w:t xml:space="preserve"> Publicznych, ul. Bażyńskiego 8</w:t>
    </w:r>
    <w:r w:rsidRPr="002A4013">
      <w:rPr>
        <w:rFonts w:ascii="Arial" w:hAnsi="Arial" w:cs="Arial"/>
        <w:sz w:val="18"/>
        <w:szCs w:val="18"/>
      </w:rPr>
      <w:t>, 80-</w:t>
    </w:r>
    <w:r w:rsidR="00357444">
      <w:rPr>
        <w:rFonts w:ascii="Arial" w:hAnsi="Arial" w:cs="Arial"/>
        <w:sz w:val="18"/>
        <w:szCs w:val="18"/>
      </w:rPr>
      <w:t>30</w:t>
    </w:r>
    <w:r w:rsidRPr="002A4013">
      <w:rPr>
        <w:rFonts w:ascii="Arial" w:hAnsi="Arial" w:cs="Arial"/>
        <w:sz w:val="18"/>
        <w:szCs w:val="18"/>
      </w:rPr>
      <w:t>9 Gdańsk</w:t>
    </w:r>
  </w:p>
  <w:p w:rsidR="00134555" w:rsidRPr="00451BC3" w:rsidRDefault="006D2457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134555"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="00134555"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D829BB" w:rsidRPr="00D829BB">
          <w:rPr>
            <w:rFonts w:ascii="Arial" w:hAnsi="Arial"/>
            <w:noProof/>
            <w:sz w:val="18"/>
            <w:szCs w:val="28"/>
          </w:rPr>
          <w:t>1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BA" w:rsidRDefault="00C01ABA" w:rsidP="00353E87">
      <w:r>
        <w:separator/>
      </w:r>
    </w:p>
  </w:footnote>
  <w:footnote w:type="continuationSeparator" w:id="0">
    <w:p w:rsidR="00C01ABA" w:rsidRDefault="00C01ABA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5" w:rsidRDefault="00357444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A120-211-153</w:t>
    </w:r>
    <w:r w:rsidR="00134555" w:rsidRPr="00EA68FF">
      <w:rPr>
        <w:rFonts w:ascii="Arial" w:hAnsi="Arial" w:cs="Arial"/>
        <w:i/>
        <w:sz w:val="18"/>
        <w:szCs w:val="18"/>
      </w:rPr>
      <w:t>/1</w:t>
    </w:r>
    <w:r w:rsidR="00134555">
      <w:rPr>
        <w:rFonts w:ascii="Arial" w:hAnsi="Arial" w:cs="Arial"/>
        <w:i/>
        <w:sz w:val="18"/>
        <w:szCs w:val="18"/>
      </w:rPr>
      <w:t>5</w:t>
    </w:r>
    <w:r w:rsidR="00134555" w:rsidRPr="00EA68FF">
      <w:rPr>
        <w:rFonts w:ascii="Arial" w:hAnsi="Arial" w:cs="Arial"/>
        <w:i/>
        <w:sz w:val="18"/>
        <w:szCs w:val="18"/>
      </w:rPr>
      <w:t xml:space="preserve">/WW - załącznik nr </w:t>
    </w:r>
    <w:r w:rsidR="00134555">
      <w:rPr>
        <w:rFonts w:ascii="Arial" w:hAnsi="Arial" w:cs="Arial"/>
        <w:i/>
        <w:sz w:val="18"/>
        <w:szCs w:val="18"/>
      </w:rPr>
      <w:t>2 do SIWZ – szczegółowy opis przedmiotu zamówienia</w:t>
    </w:r>
  </w:p>
  <w:p w:rsidR="00134555" w:rsidRPr="00C45DEB" w:rsidRDefault="00134555" w:rsidP="00C45DEB">
    <w:pPr>
      <w:pStyle w:val="Nagwek"/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A"/>
    <w:multiLevelType w:val="hybridMultilevel"/>
    <w:tmpl w:val="33F24CEE"/>
    <w:lvl w:ilvl="0" w:tplc="83DC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13C"/>
    <w:multiLevelType w:val="hybridMultilevel"/>
    <w:tmpl w:val="03C6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9EC"/>
    <w:multiLevelType w:val="hybridMultilevel"/>
    <w:tmpl w:val="C3DC4F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7B5"/>
    <w:multiLevelType w:val="hybridMultilevel"/>
    <w:tmpl w:val="FF448350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D04"/>
    <w:multiLevelType w:val="hybridMultilevel"/>
    <w:tmpl w:val="A89E41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C64"/>
    <w:multiLevelType w:val="hybridMultilevel"/>
    <w:tmpl w:val="A82A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359"/>
    <w:multiLevelType w:val="hybridMultilevel"/>
    <w:tmpl w:val="3E2C941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145"/>
    <w:multiLevelType w:val="hybridMultilevel"/>
    <w:tmpl w:val="277C0820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AD69C2"/>
    <w:multiLevelType w:val="hybridMultilevel"/>
    <w:tmpl w:val="EF78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EDD"/>
    <w:multiLevelType w:val="hybridMultilevel"/>
    <w:tmpl w:val="E4484DD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2C03"/>
    <w:multiLevelType w:val="hybridMultilevel"/>
    <w:tmpl w:val="37EA5BE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5443E5"/>
    <w:multiLevelType w:val="hybridMultilevel"/>
    <w:tmpl w:val="73CA89E8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A4E50"/>
    <w:multiLevelType w:val="hybridMultilevel"/>
    <w:tmpl w:val="2AD0BD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74FE0"/>
    <w:multiLevelType w:val="hybridMultilevel"/>
    <w:tmpl w:val="273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EE8"/>
    <w:multiLevelType w:val="hybridMultilevel"/>
    <w:tmpl w:val="626E7A8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5D8E"/>
    <w:multiLevelType w:val="hybridMultilevel"/>
    <w:tmpl w:val="8FE4C5D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E4BE1"/>
    <w:multiLevelType w:val="hybridMultilevel"/>
    <w:tmpl w:val="76C4B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31D1F"/>
    <w:multiLevelType w:val="hybridMultilevel"/>
    <w:tmpl w:val="DD3623F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34456"/>
    <w:multiLevelType w:val="hybridMultilevel"/>
    <w:tmpl w:val="B1EE6B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2370"/>
    <w:rsid w:val="00016227"/>
    <w:rsid w:val="0002634A"/>
    <w:rsid w:val="00031C26"/>
    <w:rsid w:val="00045899"/>
    <w:rsid w:val="000568E8"/>
    <w:rsid w:val="000622AE"/>
    <w:rsid w:val="00082AC1"/>
    <w:rsid w:val="00082C9C"/>
    <w:rsid w:val="000A2D4C"/>
    <w:rsid w:val="000B7009"/>
    <w:rsid w:val="000B791C"/>
    <w:rsid w:val="000C2A23"/>
    <w:rsid w:val="000C44FD"/>
    <w:rsid w:val="000D31A0"/>
    <w:rsid w:val="000D5C57"/>
    <w:rsid w:val="000D6027"/>
    <w:rsid w:val="000D778C"/>
    <w:rsid w:val="000E0AF3"/>
    <w:rsid w:val="00110FBF"/>
    <w:rsid w:val="0011461C"/>
    <w:rsid w:val="00123CDF"/>
    <w:rsid w:val="0012641C"/>
    <w:rsid w:val="00127B3C"/>
    <w:rsid w:val="00134555"/>
    <w:rsid w:val="00135DA0"/>
    <w:rsid w:val="001377FF"/>
    <w:rsid w:val="00142BE3"/>
    <w:rsid w:val="00144712"/>
    <w:rsid w:val="00150751"/>
    <w:rsid w:val="00150DF1"/>
    <w:rsid w:val="001516F9"/>
    <w:rsid w:val="00160679"/>
    <w:rsid w:val="00161F51"/>
    <w:rsid w:val="00166173"/>
    <w:rsid w:val="0017595E"/>
    <w:rsid w:val="00196E32"/>
    <w:rsid w:val="001A2A98"/>
    <w:rsid w:val="001A31DA"/>
    <w:rsid w:val="001B7C6C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4441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A4013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08C8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559BF"/>
    <w:rsid w:val="00357444"/>
    <w:rsid w:val="00370FB6"/>
    <w:rsid w:val="0038204C"/>
    <w:rsid w:val="00382EBF"/>
    <w:rsid w:val="00392D4A"/>
    <w:rsid w:val="003937FA"/>
    <w:rsid w:val="00396200"/>
    <w:rsid w:val="003A1D62"/>
    <w:rsid w:val="003A4065"/>
    <w:rsid w:val="003B56C2"/>
    <w:rsid w:val="003C1326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15882"/>
    <w:rsid w:val="005222FF"/>
    <w:rsid w:val="00524AE6"/>
    <w:rsid w:val="00531FDA"/>
    <w:rsid w:val="005323F6"/>
    <w:rsid w:val="005367E9"/>
    <w:rsid w:val="0054099D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B4608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C76B7"/>
    <w:rsid w:val="006D1BC6"/>
    <w:rsid w:val="006D2457"/>
    <w:rsid w:val="006D29AF"/>
    <w:rsid w:val="006D3080"/>
    <w:rsid w:val="006D76B9"/>
    <w:rsid w:val="006E230D"/>
    <w:rsid w:val="006F10C1"/>
    <w:rsid w:val="006F23E8"/>
    <w:rsid w:val="006F3514"/>
    <w:rsid w:val="00703922"/>
    <w:rsid w:val="00704F27"/>
    <w:rsid w:val="00723315"/>
    <w:rsid w:val="0072563F"/>
    <w:rsid w:val="00725D37"/>
    <w:rsid w:val="0073153D"/>
    <w:rsid w:val="0074650A"/>
    <w:rsid w:val="00750EC3"/>
    <w:rsid w:val="0076089B"/>
    <w:rsid w:val="007608E3"/>
    <w:rsid w:val="007612BF"/>
    <w:rsid w:val="007642C1"/>
    <w:rsid w:val="007653E1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0D32"/>
    <w:rsid w:val="00801BBC"/>
    <w:rsid w:val="00804C3E"/>
    <w:rsid w:val="00806E91"/>
    <w:rsid w:val="00817E1B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387D"/>
    <w:rsid w:val="00887820"/>
    <w:rsid w:val="008A3318"/>
    <w:rsid w:val="008B4601"/>
    <w:rsid w:val="008D6E00"/>
    <w:rsid w:val="008D6E53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146C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5755"/>
    <w:rsid w:val="009B7D88"/>
    <w:rsid w:val="009C5D3B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24230"/>
    <w:rsid w:val="00A2528C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72D0C"/>
    <w:rsid w:val="00A914B3"/>
    <w:rsid w:val="00A93D18"/>
    <w:rsid w:val="00AA09D2"/>
    <w:rsid w:val="00AA246A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6487"/>
    <w:rsid w:val="00B41389"/>
    <w:rsid w:val="00B43AC8"/>
    <w:rsid w:val="00B521A7"/>
    <w:rsid w:val="00B548F0"/>
    <w:rsid w:val="00B5699B"/>
    <w:rsid w:val="00B56E8A"/>
    <w:rsid w:val="00B76FA5"/>
    <w:rsid w:val="00B81FEE"/>
    <w:rsid w:val="00B820CC"/>
    <w:rsid w:val="00B900DC"/>
    <w:rsid w:val="00B9190C"/>
    <w:rsid w:val="00BA6F19"/>
    <w:rsid w:val="00BB7489"/>
    <w:rsid w:val="00BB7A7F"/>
    <w:rsid w:val="00BB7FF1"/>
    <w:rsid w:val="00BC29FA"/>
    <w:rsid w:val="00BC4482"/>
    <w:rsid w:val="00BD6AF2"/>
    <w:rsid w:val="00BE01A1"/>
    <w:rsid w:val="00BE089F"/>
    <w:rsid w:val="00BE6C9C"/>
    <w:rsid w:val="00BE6FDE"/>
    <w:rsid w:val="00BE78E5"/>
    <w:rsid w:val="00C01ABA"/>
    <w:rsid w:val="00C03558"/>
    <w:rsid w:val="00C2333F"/>
    <w:rsid w:val="00C275C9"/>
    <w:rsid w:val="00C31A84"/>
    <w:rsid w:val="00C43202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829BB"/>
    <w:rsid w:val="00D97E6C"/>
    <w:rsid w:val="00DA0CF2"/>
    <w:rsid w:val="00DA3C19"/>
    <w:rsid w:val="00DA66A3"/>
    <w:rsid w:val="00DA6911"/>
    <w:rsid w:val="00DA79E2"/>
    <w:rsid w:val="00DB0064"/>
    <w:rsid w:val="00DC37C0"/>
    <w:rsid w:val="00DC4BB9"/>
    <w:rsid w:val="00DD56F9"/>
    <w:rsid w:val="00DE282A"/>
    <w:rsid w:val="00DF3218"/>
    <w:rsid w:val="00DF338D"/>
    <w:rsid w:val="00DF7C2C"/>
    <w:rsid w:val="00E041C7"/>
    <w:rsid w:val="00E11F87"/>
    <w:rsid w:val="00E14BA2"/>
    <w:rsid w:val="00E20B12"/>
    <w:rsid w:val="00E210FE"/>
    <w:rsid w:val="00E3002A"/>
    <w:rsid w:val="00E36617"/>
    <w:rsid w:val="00E4029E"/>
    <w:rsid w:val="00E71527"/>
    <w:rsid w:val="00E9615F"/>
    <w:rsid w:val="00E9761A"/>
    <w:rsid w:val="00EA0603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63A3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232C"/>
    <w:rsid w:val="00FD39F9"/>
    <w:rsid w:val="00FF0722"/>
    <w:rsid w:val="00FF0750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31710"/>
    <w:pPr>
      <w:ind w:left="702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1710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rsid w:val="009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FFA"/>
    <w:rPr>
      <w:sz w:val="24"/>
      <w:szCs w:val="24"/>
    </w:rPr>
  </w:style>
  <w:style w:type="paragraph" w:styleId="Header">
    <w:name w:val="header"/>
    <w:basedOn w:val="Normal"/>
    <w:link w:val="HeaderChar"/>
    <w:rsid w:val="00353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3E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EB3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Heading1Char">
    <w:name w:val="Heading 1 Char"/>
    <w:basedOn w:val="DefaultParagraphFont"/>
    <w:link w:val="Heading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EnvelopeReturn">
    <w:name w:val="envelope return"/>
    <w:basedOn w:val="Normal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"/>
    <w:rsid w:val="002F5BAE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3F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semiHidden/>
    <w:rsid w:val="005B2841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2D41-BC59-4B0D-8FE3-5FF71869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stacji do izolacji i normalizacji kwasów nukleinowych</vt:lpstr>
      <vt:lpstr>Specyfikacja stacji do izolacji i normalizacji kwasów nukleinowych</vt:lpstr>
    </vt:vector>
  </TitlesOfParts>
  <Company>BioaAnalytic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7</cp:revision>
  <cp:lastPrinted>2015-05-18T10:55:00Z</cp:lastPrinted>
  <dcterms:created xsi:type="dcterms:W3CDTF">2015-08-04T09:48:00Z</dcterms:created>
  <dcterms:modified xsi:type="dcterms:W3CDTF">2015-10-01T10:02:00Z</dcterms:modified>
</cp:coreProperties>
</file>