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E6" w:rsidRPr="002259CF" w:rsidRDefault="002259CF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59CF">
        <w:rPr>
          <w:rFonts w:ascii="Arial" w:hAnsi="Arial" w:cs="Arial"/>
          <w:b/>
          <w:sz w:val="20"/>
          <w:szCs w:val="20"/>
        </w:rPr>
        <w:t>D</w:t>
      </w:r>
      <w:r w:rsidR="002C7DE6" w:rsidRPr="002259CF">
        <w:rPr>
          <w:rFonts w:ascii="Arial" w:hAnsi="Arial" w:cs="Arial"/>
          <w:b/>
          <w:sz w:val="20"/>
          <w:szCs w:val="20"/>
        </w:rPr>
        <w:t>ostaw</w:t>
      </w:r>
      <w:r w:rsidRPr="002259CF">
        <w:rPr>
          <w:rFonts w:ascii="Arial" w:hAnsi="Arial" w:cs="Arial"/>
          <w:b/>
          <w:sz w:val="20"/>
          <w:szCs w:val="20"/>
        </w:rPr>
        <w:t>a</w:t>
      </w:r>
      <w:r w:rsidR="002C7DE6" w:rsidRPr="002259CF">
        <w:rPr>
          <w:rFonts w:ascii="Arial" w:hAnsi="Arial" w:cs="Arial"/>
          <w:b/>
          <w:sz w:val="20"/>
          <w:szCs w:val="20"/>
        </w:rPr>
        <w:t xml:space="preserve"> aparatu do elektroforezy kapilarnej </w:t>
      </w:r>
      <w:r w:rsidRPr="002259CF">
        <w:rPr>
          <w:rFonts w:ascii="Arial" w:hAnsi="Arial" w:cs="Arial"/>
          <w:b/>
          <w:sz w:val="20"/>
          <w:szCs w:val="20"/>
        </w:rPr>
        <w:br/>
      </w:r>
      <w:r w:rsidR="002C7DE6" w:rsidRPr="002259CF">
        <w:rPr>
          <w:rFonts w:ascii="Arial" w:hAnsi="Arial" w:cs="Arial"/>
          <w:b/>
          <w:sz w:val="20"/>
          <w:szCs w:val="20"/>
        </w:rPr>
        <w:t>dla Uniwersytetu Gdańskiego</w:t>
      </w:r>
    </w:p>
    <w:p w:rsidR="002C7DE6" w:rsidRPr="002259CF" w:rsidRDefault="002C7DE6" w:rsidP="002259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C7DE6" w:rsidRPr="002259CF" w:rsidRDefault="002C7DE6" w:rsidP="002259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 xml:space="preserve">OBLIGATORYJNE (WYMAGANE) PARAMETRY I FUNKCJE </w:t>
      </w:r>
    </w:p>
    <w:p w:rsidR="002C7DE6" w:rsidRPr="002259CF" w:rsidRDefault="002C7DE6" w:rsidP="002259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00"/>
        <w:gridCol w:w="9123"/>
      </w:tblGrid>
      <w:tr w:rsidR="002C7DE6" w:rsidRPr="002259CF" w:rsidTr="00CB13F1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DE6" w:rsidRPr="002259CF" w:rsidRDefault="002C7DE6" w:rsidP="002259C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9C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DE6" w:rsidRPr="002259CF" w:rsidRDefault="002C7DE6" w:rsidP="002259C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9CF">
              <w:rPr>
                <w:rFonts w:ascii="Arial" w:hAnsi="Arial" w:cs="Arial"/>
                <w:b/>
                <w:bCs/>
                <w:sz w:val="20"/>
                <w:szCs w:val="20"/>
              </w:rPr>
              <w:t>WYMAGANY PARAMETR</w:t>
            </w:r>
          </w:p>
        </w:tc>
      </w:tr>
      <w:tr w:rsidR="002C7DE6" w:rsidRPr="002259CF" w:rsidTr="00CB13F1">
        <w:trPr>
          <w:trHeight w:val="5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System zasilania wysokim napięciem w zakresie do 30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2259CF">
              <w:rPr>
                <w:rFonts w:ascii="Arial" w:hAnsi="Arial" w:cs="Arial"/>
                <w:sz w:val="20"/>
                <w:szCs w:val="20"/>
              </w:rPr>
              <w:t>; zasilanie dwubiegunowe</w:t>
            </w:r>
          </w:p>
        </w:tc>
      </w:tr>
      <w:tr w:rsidR="002C7DE6" w:rsidRPr="002259CF" w:rsidTr="00CB13F1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Zakres prądu do 300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μA</w:t>
            </w:r>
            <w:proofErr w:type="spellEnd"/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Zakres osiąganej mocy nie mniej niż 9W.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Zasięg ciśnień dla przemywania i separacji do 100psi, bez konieczności użycia zewnętrznego źródła generującego ciśnienie (np. butli z azotem).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Możliwości separacyjne:</w:t>
            </w:r>
          </w:p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a) operowanie stałym lub gradientowym poziomem napięcia, natężenia, mocy, ciśnienia oraz próżni; </w:t>
            </w:r>
          </w:p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b) możliwość jednoczesnego przyłożenia napięcia, natężenia lub mocy łącznie z przyłożonym ciśnieniem lub próżnią;</w:t>
            </w:r>
          </w:p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c) możliwość przyłożenia ciśnienia zarówno od strony wlotu lub wylotu kapilary osobno oraz z obu stron kapilary jednocześnie.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Możliwość wprowadzania prób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analitu</w:t>
            </w:r>
            <w:proofErr w:type="spellEnd"/>
            <w:r w:rsidRPr="002259CF">
              <w:rPr>
                <w:rFonts w:ascii="Arial" w:hAnsi="Arial" w:cs="Arial"/>
                <w:sz w:val="20"/>
                <w:szCs w:val="20"/>
              </w:rPr>
              <w:t xml:space="preserve"> do kapilary w trzech trybach iniekcji, w zakresie nie mniej niż:</w:t>
            </w:r>
          </w:p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Ciśnieniem: 25 psi</w:t>
            </w:r>
          </w:p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Próżniowo: 5 psi</w:t>
            </w:r>
          </w:p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Elektrokinetycznie: 10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Możliwość automatycznego wprowadzania buforów, bezpośrednio z fiolek o objętości w zakresie </w:t>
            </w:r>
            <w:r w:rsidR="00CB13F1">
              <w:rPr>
                <w:rFonts w:ascii="Arial" w:hAnsi="Arial" w:cs="Arial"/>
                <w:sz w:val="20"/>
                <w:szCs w:val="20"/>
              </w:rPr>
              <w:br/>
            </w:r>
            <w:r w:rsidRPr="002259CF">
              <w:rPr>
                <w:rFonts w:ascii="Arial" w:hAnsi="Arial" w:cs="Arial"/>
                <w:sz w:val="20"/>
                <w:szCs w:val="20"/>
              </w:rPr>
              <w:t xml:space="preserve">1.5 ml do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2259CF">
              <w:rPr>
                <w:rFonts w:ascii="Arial" w:hAnsi="Arial" w:cs="Arial"/>
                <w:sz w:val="20"/>
                <w:szCs w:val="20"/>
              </w:rPr>
              <w:t>. 2.0 ml. Ilość miejsc na bufory przy jednorazowym załadowaniu nie mniej niż 36, niezależnie od miejsc przeznaczonych na próbki.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Możliwość automatycznego wprowadzania próbki do analizy bezpośrednio z fiolek w zakresie </w:t>
            </w:r>
            <w:r w:rsidR="00CB13F1">
              <w:rPr>
                <w:rFonts w:ascii="Arial" w:hAnsi="Arial" w:cs="Arial"/>
                <w:sz w:val="20"/>
                <w:szCs w:val="20"/>
              </w:rPr>
              <w:br/>
            </w:r>
            <w:r w:rsidRPr="002259CF">
              <w:rPr>
                <w:rFonts w:ascii="Arial" w:hAnsi="Arial" w:cs="Arial"/>
                <w:sz w:val="20"/>
                <w:szCs w:val="20"/>
              </w:rPr>
              <w:t xml:space="preserve">od 0.2 ml do max 2.0 ml. Ilość miejsc na próbki przy jednorazowym załadowaniu nie mniej niż 48, </w:t>
            </w:r>
            <w:r w:rsidRPr="002259CF">
              <w:rPr>
                <w:rFonts w:ascii="Arial" w:hAnsi="Arial" w:cs="Arial"/>
                <w:sz w:val="20"/>
                <w:szCs w:val="20"/>
              </w:rPr>
              <w:lastRenderedPageBreak/>
              <w:t>niezależnie od miejsc przeznaczonych na bufory.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Możliwość automatycznego wprowadzania próbek do analizy bezpośrednio z płytek 96 dołkowych.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 xml:space="preserve">Modułowy, wymienny detektor UV producenta elektroforezy kapilarnej, pracujący z wymiennymi filtrami w zakresie nie gorszym niż  190 – 600 nm. Na wyposażeniu filtry o długościach fali 200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259CF">
              <w:rPr>
                <w:rFonts w:ascii="Arial" w:hAnsi="Arial" w:cs="Arial"/>
                <w:sz w:val="20"/>
                <w:szCs w:val="20"/>
              </w:rPr>
              <w:t xml:space="preserve">, 214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259CF">
              <w:rPr>
                <w:rFonts w:ascii="Arial" w:hAnsi="Arial" w:cs="Arial"/>
                <w:sz w:val="20"/>
                <w:szCs w:val="20"/>
              </w:rPr>
              <w:t xml:space="preserve">, 254 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259CF">
              <w:rPr>
                <w:rFonts w:ascii="Arial" w:hAnsi="Arial" w:cs="Arial"/>
                <w:sz w:val="20"/>
                <w:szCs w:val="20"/>
              </w:rPr>
              <w:t xml:space="preserve"> i 280 nm. Detektor umieszczany wewnątrz instrumentu.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Modułowy, wymienny detektor LIF wraz z półprzewodnikowym laserem 488nm producenta elektroforezy kapilarnej i odpowiednimi filtrami, umożliwiającego pracę w zakresie emisji 350-750 </w:t>
            </w:r>
            <w:proofErr w:type="spellStart"/>
            <w:r w:rsidRPr="002259C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259CF">
              <w:rPr>
                <w:rFonts w:ascii="Arial" w:hAnsi="Arial" w:cs="Arial"/>
                <w:sz w:val="20"/>
                <w:szCs w:val="20"/>
              </w:rPr>
              <w:t>, przy pomiarze 0-1000 RFU, detektor musi być instalowany wewnątrz instrumentu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Pełna obudowa kartridża –montowanie kapilary bez konieczności otwierania kasety.</w:t>
            </w:r>
          </w:p>
        </w:tc>
      </w:tr>
      <w:tr w:rsidR="002C7DE6" w:rsidRPr="002259CF" w:rsidTr="00CB13F1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Termostatowanie kapilary w kartridżu wyłącznie przy użyciu cieczowego systemu chłodzenia (wymuszonego przepływu chłodziwa) w układzie zamkniętym. Zakres temp. +15</w:t>
            </w:r>
            <w:r w:rsidRPr="002259C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259CF">
              <w:rPr>
                <w:rFonts w:ascii="Arial" w:hAnsi="Arial" w:cs="Arial"/>
                <w:sz w:val="20"/>
                <w:szCs w:val="20"/>
              </w:rPr>
              <w:t>C do +60</w:t>
            </w:r>
            <w:r w:rsidRPr="002259C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259CF">
              <w:rPr>
                <w:rFonts w:ascii="Arial" w:hAnsi="Arial" w:cs="Arial"/>
                <w:sz w:val="20"/>
                <w:szCs w:val="20"/>
              </w:rPr>
              <w:t xml:space="preserve">C, </w:t>
            </w:r>
            <w:r w:rsidR="00CB13F1">
              <w:rPr>
                <w:rFonts w:ascii="Arial" w:hAnsi="Arial" w:cs="Arial"/>
                <w:sz w:val="20"/>
                <w:szCs w:val="20"/>
              </w:rPr>
              <w:br/>
            </w:r>
            <w:r w:rsidRPr="002259CF">
              <w:rPr>
                <w:rFonts w:ascii="Arial" w:hAnsi="Arial" w:cs="Arial"/>
                <w:sz w:val="20"/>
                <w:szCs w:val="20"/>
              </w:rPr>
              <w:t>przy stabilności temperatury nie gorszej niż ±1°C.</w:t>
            </w:r>
          </w:p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DE6" w:rsidRPr="002259CF" w:rsidTr="00CB13F1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DE6" w:rsidRPr="002259CF" w:rsidRDefault="002C7DE6" w:rsidP="00CB13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CF">
              <w:rPr>
                <w:rFonts w:ascii="Arial" w:hAnsi="Arial" w:cs="Arial"/>
                <w:sz w:val="20"/>
                <w:szCs w:val="20"/>
              </w:rPr>
              <w:t>Komora do termostatowania próbek w temperaturze do 4</w:t>
            </w:r>
            <w:r w:rsidRPr="002259C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259CF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C7DE6" w:rsidRPr="002259CF" w:rsidTr="00CB13F1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E6" w:rsidRPr="002259CF" w:rsidRDefault="002C7DE6" w:rsidP="002259CF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DE6" w:rsidRPr="002259CF" w:rsidRDefault="008D4C23" w:rsidP="00CB13F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59CF">
              <w:rPr>
                <w:rFonts w:ascii="Arial" w:hAnsi="Arial" w:cs="Arial"/>
                <w:bCs/>
                <w:sz w:val="20"/>
                <w:szCs w:val="20"/>
              </w:rPr>
              <w:t xml:space="preserve">Zestaw komputerowy z oprogramowaniem kontrolno-pomiarowym w najnowszej dostępnej wersji wraz z nośnikami instalacyjnymi, umożliwiające sterowanie systemem, wizualizację, zbieranie, integrację i obróbkę wyników .Oprogramowanie umożliwiające zapis nieograniczonej ilości metod, sekwencji i danych, </w:t>
            </w:r>
            <w:bookmarkStart w:id="0" w:name="_GoBack"/>
            <w:bookmarkEnd w:id="0"/>
            <w:r w:rsidRPr="002259CF">
              <w:rPr>
                <w:rFonts w:ascii="Arial" w:hAnsi="Arial" w:cs="Arial"/>
                <w:bCs/>
                <w:sz w:val="20"/>
                <w:szCs w:val="20"/>
              </w:rPr>
              <w:t xml:space="preserve"> działające w posiadanym przez Zamawiającego środowisku Windows 7 64 bity,   z monitorem o przekątnej nie mniejszej niż 24” zapewniającym przegląd wykresów i analiz </w:t>
            </w:r>
            <w:r w:rsidR="00CB13F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259CF">
              <w:rPr>
                <w:rFonts w:ascii="Arial" w:hAnsi="Arial" w:cs="Arial"/>
                <w:bCs/>
                <w:sz w:val="20"/>
                <w:szCs w:val="20"/>
              </w:rPr>
              <w:t xml:space="preserve">w rozdzielczości </w:t>
            </w:r>
            <w:proofErr w:type="spellStart"/>
            <w:r w:rsidRPr="002259CF">
              <w:rPr>
                <w:rFonts w:ascii="Arial" w:hAnsi="Arial" w:cs="Arial"/>
                <w:bCs/>
                <w:sz w:val="20"/>
                <w:szCs w:val="20"/>
              </w:rPr>
              <w:t>full</w:t>
            </w:r>
            <w:proofErr w:type="spellEnd"/>
            <w:r w:rsidRPr="002259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59CF">
              <w:rPr>
                <w:rFonts w:ascii="Arial" w:hAnsi="Arial" w:cs="Arial"/>
                <w:bCs/>
                <w:sz w:val="20"/>
                <w:szCs w:val="20"/>
              </w:rPr>
              <w:t>hd</w:t>
            </w:r>
            <w:proofErr w:type="spellEnd"/>
            <w:r w:rsidRPr="002259CF">
              <w:rPr>
                <w:rFonts w:ascii="Arial" w:hAnsi="Arial" w:cs="Arial"/>
                <w:bCs/>
                <w:sz w:val="20"/>
                <w:szCs w:val="20"/>
              </w:rPr>
              <w:t xml:space="preserve">, co umożliwi precyzyjny odczyt, możliwość umieszczenia komentarzy </w:t>
            </w:r>
            <w:r w:rsidR="00CB13F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259CF">
              <w:rPr>
                <w:rFonts w:ascii="Arial" w:hAnsi="Arial" w:cs="Arial"/>
                <w:bCs/>
                <w:sz w:val="20"/>
                <w:szCs w:val="20"/>
              </w:rPr>
              <w:t xml:space="preserve">oraz interpretacji wyników badań,   drukarkę laserową, zapewniającą druk wyników w kolorze </w:t>
            </w:r>
            <w:r w:rsidR="00CB13F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259CF">
              <w:rPr>
                <w:rFonts w:ascii="Arial" w:hAnsi="Arial" w:cs="Arial"/>
                <w:bCs/>
                <w:sz w:val="20"/>
                <w:szCs w:val="20"/>
              </w:rPr>
              <w:t>w rozdzielczości nie mniejszej niż 600 DPI, w formacie A4, oraz zasilacz  awaryjny podtrzymujący napięcie całego systemu HPLC przez okres co najmniej 5 minut ale o mocy nie mniejszej niż 2KVa pracujący w trybie online</w:t>
            </w:r>
          </w:p>
        </w:tc>
      </w:tr>
    </w:tbl>
    <w:p w:rsidR="002C7DE6" w:rsidRPr="002259CF" w:rsidRDefault="002C7DE6" w:rsidP="002259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59CF">
        <w:rPr>
          <w:rFonts w:ascii="Arial" w:hAnsi="Arial" w:cs="Arial"/>
          <w:bCs/>
          <w:sz w:val="20"/>
          <w:szCs w:val="20"/>
        </w:rPr>
        <w:t>3. Wyposażenie dodatkowe: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Fiolki na bufory o maks. objętości 1</w:t>
      </w:r>
      <w:r w:rsidR="00CB13F1">
        <w:rPr>
          <w:rFonts w:ascii="Arial" w:hAnsi="Arial" w:cs="Arial"/>
          <w:sz w:val="20"/>
          <w:szCs w:val="20"/>
        </w:rPr>
        <w:t>,8 ml  wraz z korkami 300 sztuk.</w:t>
      </w:r>
      <w:r w:rsidRPr="002259CF">
        <w:rPr>
          <w:rFonts w:ascii="Arial" w:hAnsi="Arial" w:cs="Arial"/>
          <w:sz w:val="20"/>
          <w:szCs w:val="20"/>
        </w:rPr>
        <w:t xml:space="preserve"> 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Fiolki na próbki wraz z insertami, (i sprężynkami -jeżeli są) oraz korkami   200 sztuk</w:t>
      </w:r>
      <w:r w:rsidR="00CB13F1">
        <w:rPr>
          <w:rFonts w:ascii="Arial" w:hAnsi="Arial" w:cs="Arial"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59CF">
        <w:rPr>
          <w:rFonts w:ascii="Arial" w:hAnsi="Arial" w:cs="Arial"/>
          <w:bCs/>
          <w:sz w:val="20"/>
          <w:szCs w:val="20"/>
        </w:rPr>
        <w:lastRenderedPageBreak/>
        <w:t>Korki na fiolki do buforów i próbek po 100 sztuk każdego rodzaju</w:t>
      </w:r>
      <w:r w:rsidR="00CB13F1">
        <w:rPr>
          <w:rFonts w:ascii="Arial" w:hAnsi="Arial" w:cs="Arial"/>
          <w:bCs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Zestaw naprawczy/startowy umożliwiający wykonanie podstawowych cz</w:t>
      </w:r>
      <w:r w:rsidR="00CB13F1">
        <w:rPr>
          <w:rFonts w:ascii="Arial" w:hAnsi="Arial" w:cs="Arial"/>
          <w:sz w:val="20"/>
          <w:szCs w:val="20"/>
        </w:rPr>
        <w:t xml:space="preserve">ynności serwisowych, takich jak </w:t>
      </w:r>
      <w:r w:rsidRPr="002259CF">
        <w:rPr>
          <w:rFonts w:ascii="Arial" w:hAnsi="Arial" w:cs="Arial"/>
          <w:sz w:val="20"/>
          <w:szCs w:val="20"/>
        </w:rPr>
        <w:t>również przygotowanie kartridża i przycięcie kapilary do odpowiedniej długości</w:t>
      </w:r>
      <w:r w:rsidR="00CB13F1">
        <w:rPr>
          <w:rFonts w:ascii="Arial" w:hAnsi="Arial" w:cs="Arial"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59CF">
        <w:rPr>
          <w:rFonts w:ascii="Arial" w:hAnsi="Arial" w:cs="Arial"/>
          <w:bCs/>
          <w:sz w:val="20"/>
          <w:szCs w:val="20"/>
        </w:rPr>
        <w:t>Tacki na umieszczenie fiolek z buforami i fiolek z próbkami -po 2 każdego rodzaju</w:t>
      </w:r>
      <w:r w:rsidR="00CB13F1">
        <w:rPr>
          <w:rFonts w:ascii="Arial" w:hAnsi="Arial" w:cs="Arial"/>
          <w:bCs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Zapasowe elektrody 2 sztuki</w:t>
      </w:r>
      <w:r w:rsidR="00CB13F1">
        <w:rPr>
          <w:rFonts w:ascii="Arial" w:hAnsi="Arial" w:cs="Arial"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Płyn chłodzący 0,5 L i zestaw umożliwiający napełnianie</w:t>
      </w:r>
      <w:r w:rsidR="00CB13F1">
        <w:rPr>
          <w:rFonts w:ascii="Arial" w:hAnsi="Arial" w:cs="Arial"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59CF">
        <w:rPr>
          <w:rFonts w:ascii="Arial" w:hAnsi="Arial" w:cs="Arial"/>
          <w:bCs/>
          <w:sz w:val="20"/>
          <w:szCs w:val="20"/>
        </w:rPr>
        <w:t xml:space="preserve">Dodatkowe oprogramowanie umożliwiające pracę </w:t>
      </w:r>
      <w:proofErr w:type="spellStart"/>
      <w:r w:rsidRPr="002259CF">
        <w:rPr>
          <w:rFonts w:ascii="Arial" w:hAnsi="Arial" w:cs="Arial"/>
          <w:bCs/>
          <w:sz w:val="20"/>
          <w:szCs w:val="20"/>
        </w:rPr>
        <w:t>off</w:t>
      </w:r>
      <w:proofErr w:type="spellEnd"/>
      <w:r w:rsidRPr="002259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259CF">
        <w:rPr>
          <w:rFonts w:ascii="Arial" w:hAnsi="Arial" w:cs="Arial"/>
          <w:bCs/>
          <w:sz w:val="20"/>
          <w:szCs w:val="20"/>
        </w:rPr>
        <w:t>line</w:t>
      </w:r>
      <w:proofErr w:type="spellEnd"/>
      <w:r w:rsidRPr="002259CF">
        <w:rPr>
          <w:rFonts w:ascii="Arial" w:hAnsi="Arial" w:cs="Arial"/>
          <w:bCs/>
          <w:sz w:val="20"/>
          <w:szCs w:val="20"/>
        </w:rPr>
        <w:t xml:space="preserve"> z danymi uzyskanymi z systemu elektroforezy kapilarnej. 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59CF">
        <w:rPr>
          <w:rFonts w:ascii="Arial" w:hAnsi="Arial" w:cs="Arial"/>
          <w:bCs/>
          <w:sz w:val="20"/>
          <w:szCs w:val="20"/>
        </w:rPr>
        <w:t>Kartridż wraz z okienkiem umożliwiający pracę z detektorem LIF   4 sztuki</w:t>
      </w:r>
      <w:r w:rsidR="00CB13F1">
        <w:rPr>
          <w:rFonts w:ascii="Arial" w:hAnsi="Arial" w:cs="Arial"/>
          <w:bCs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59CF">
        <w:rPr>
          <w:rFonts w:ascii="Arial" w:hAnsi="Arial" w:cs="Arial"/>
          <w:bCs/>
          <w:sz w:val="20"/>
          <w:szCs w:val="20"/>
        </w:rPr>
        <w:t>Kartridż wraz z okienkiem umożliwiający pracę z detektorem UV  4 sztuki</w:t>
      </w:r>
      <w:r w:rsidR="00CB13F1">
        <w:rPr>
          <w:rFonts w:ascii="Arial" w:hAnsi="Arial" w:cs="Arial"/>
          <w:bCs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59CF">
        <w:rPr>
          <w:rFonts w:ascii="Arial" w:hAnsi="Arial" w:cs="Arial"/>
          <w:bCs/>
          <w:sz w:val="20"/>
          <w:szCs w:val="20"/>
        </w:rPr>
        <w:t>Mikropłytki 96-dołkowe umożliwiające podawanie próbek do systemu elektroforezy kapilarnej 20 szt</w:t>
      </w:r>
      <w:r w:rsidR="002259CF">
        <w:rPr>
          <w:rFonts w:ascii="Arial" w:hAnsi="Arial" w:cs="Arial"/>
          <w:bCs/>
          <w:sz w:val="20"/>
          <w:szCs w:val="20"/>
        </w:rPr>
        <w:t>.</w:t>
      </w:r>
      <w:r w:rsidRPr="002259CF">
        <w:rPr>
          <w:rFonts w:ascii="Arial" w:hAnsi="Arial" w:cs="Arial"/>
          <w:bCs/>
          <w:sz w:val="20"/>
          <w:szCs w:val="20"/>
        </w:rPr>
        <w:t xml:space="preserve"> 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Zestaw do kalibracji i testowania detektora LIF</w:t>
      </w:r>
      <w:r w:rsidR="00CB13F1">
        <w:rPr>
          <w:rFonts w:ascii="Arial" w:hAnsi="Arial" w:cs="Arial"/>
          <w:sz w:val="20"/>
          <w:szCs w:val="20"/>
        </w:rPr>
        <w:t>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Kapilara szklana pokrywana o średnicy wewnętrznej 75 mikrometrów odpowiednia dla pracy z detektorem LIF - 20 m.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Kapilara szklana pokrywana o średnicy wewnętrznej 50 mikrometrów odpowiednia dla pracy z detektorem LIF - 10 m.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Drukowana instrukcja obsługi dostarczonej aparatury w języku polskim lub angielskim.</w:t>
      </w:r>
    </w:p>
    <w:p w:rsidR="002C7DE6" w:rsidRPr="002259CF" w:rsidRDefault="002C7DE6" w:rsidP="00CB1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59CF">
        <w:rPr>
          <w:rFonts w:ascii="Arial" w:hAnsi="Arial" w:cs="Arial"/>
          <w:sz w:val="20"/>
          <w:szCs w:val="20"/>
        </w:rPr>
        <w:t>Wszystkie wymienione w specyfikacji urządzenia elektryczne muszą być zasilane prądem o napięciu 230 V. Dostarczona aparatura musi umożliwiać pracę bez konieczności zakupu dodatkowych elementów.</w:t>
      </w:r>
    </w:p>
    <w:p w:rsidR="002C7DE6" w:rsidRPr="002259CF" w:rsidRDefault="002C7DE6" w:rsidP="002259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C7DE6" w:rsidRPr="002259CF" w:rsidRDefault="002C7DE6" w:rsidP="002259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C7DE6" w:rsidRPr="002259CF" w:rsidRDefault="002C7DE6" w:rsidP="002259CF">
      <w:pPr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2259CF">
        <w:rPr>
          <w:rFonts w:ascii="Arial" w:hAnsi="Arial" w:cs="Arial"/>
          <w:b/>
          <w:sz w:val="20"/>
          <w:szCs w:val="20"/>
        </w:rPr>
        <w:t xml:space="preserve">   </w:t>
      </w:r>
    </w:p>
    <w:p w:rsidR="002C7DE6" w:rsidRPr="002259CF" w:rsidRDefault="002C7DE6" w:rsidP="002259C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C7DE6" w:rsidRPr="002259CF" w:rsidSect="00AF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6D" w:rsidRDefault="00AA396D" w:rsidP="000354D3">
      <w:pPr>
        <w:spacing w:after="0" w:line="240" w:lineRule="auto"/>
      </w:pPr>
      <w:r>
        <w:separator/>
      </w:r>
    </w:p>
  </w:endnote>
  <w:endnote w:type="continuationSeparator" w:id="0">
    <w:p w:rsidR="00AA396D" w:rsidRDefault="00AA396D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C" w:rsidRDefault="00A855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55" w:rsidRPr="006F3755" w:rsidRDefault="006F3755" w:rsidP="006F3755">
    <w:pPr>
      <w:pStyle w:val="Stopka"/>
      <w:pBdr>
        <w:bottom w:val="single" w:sz="6" w:space="1" w:color="auto"/>
      </w:pBdr>
      <w:tabs>
        <w:tab w:val="left" w:pos="2742"/>
      </w:tabs>
      <w:jc w:val="center"/>
      <w:rPr>
        <w:rFonts w:ascii="Arial" w:hAnsi="Arial" w:cs="Arial"/>
        <w:sz w:val="18"/>
      </w:rPr>
    </w:pPr>
    <w:r w:rsidRPr="006F3755">
      <w:rPr>
        <w:rFonts w:ascii="Arial" w:hAnsi="Arial" w:cs="Arial"/>
      </w:rPr>
      <w:t xml:space="preserve">     </w:t>
    </w:r>
  </w:p>
  <w:p w:rsidR="006F3755" w:rsidRPr="006F3755" w:rsidRDefault="006F3755" w:rsidP="006F3755">
    <w:pPr>
      <w:pStyle w:val="Stopka"/>
      <w:tabs>
        <w:tab w:val="left" w:pos="2742"/>
      </w:tabs>
      <w:jc w:val="center"/>
      <w:rPr>
        <w:rFonts w:ascii="Arial" w:hAnsi="Arial" w:cs="Arial"/>
        <w:sz w:val="18"/>
      </w:rPr>
    </w:pPr>
  </w:p>
  <w:p w:rsidR="006F3755" w:rsidRPr="006F3755" w:rsidRDefault="006F3755" w:rsidP="006F3755">
    <w:pPr>
      <w:pStyle w:val="Stopka"/>
      <w:tabs>
        <w:tab w:val="left" w:pos="2742"/>
      </w:tabs>
      <w:jc w:val="center"/>
      <w:rPr>
        <w:rFonts w:ascii="Arial" w:hAnsi="Arial" w:cs="Arial"/>
        <w:sz w:val="18"/>
      </w:rPr>
    </w:pPr>
    <w:r w:rsidRPr="006F3755">
      <w:rPr>
        <w:rFonts w:ascii="Arial" w:hAnsi="Arial" w:cs="Arial"/>
        <w:sz w:val="18"/>
      </w:rPr>
      <w:t>Projekt pt. „Nowe technologie farmakologicznej stymulacji regeneracji” (akronim REGENNOVA)</w:t>
    </w:r>
  </w:p>
  <w:p w:rsidR="006F3755" w:rsidRPr="006F3755" w:rsidRDefault="006F3755" w:rsidP="006F3755">
    <w:pPr>
      <w:pStyle w:val="Stopka"/>
      <w:tabs>
        <w:tab w:val="left" w:pos="2742"/>
      </w:tabs>
      <w:jc w:val="center"/>
      <w:rPr>
        <w:rFonts w:ascii="Arial" w:hAnsi="Arial" w:cs="Arial"/>
        <w:sz w:val="18"/>
      </w:rPr>
    </w:pPr>
    <w:r w:rsidRPr="006F3755">
      <w:rPr>
        <w:rFonts w:ascii="Arial" w:hAnsi="Arial" w:cs="Arial"/>
        <w:sz w:val="18"/>
      </w:rPr>
      <w:t>realizowany w ramach programu strategicznego  „PROFILAKTYKA I LECZENIE CHORÓB CYWILIZACYJNYCH – STRATEGMED”</w:t>
    </w:r>
  </w:p>
  <w:p w:rsidR="006F3755" w:rsidRPr="006F3755" w:rsidRDefault="006F3755" w:rsidP="006F375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  <w:r w:rsidRPr="006F3755">
      <w:rPr>
        <w:rFonts w:ascii="Arial" w:hAnsi="Arial" w:cs="Arial"/>
        <w:sz w:val="18"/>
      </w:rPr>
      <w:t>umowa nr STRATEGMED1/235077/9/NCBR/2014</w:t>
    </w:r>
  </w:p>
  <w:p w:rsidR="006F3755" w:rsidRPr="006F3755" w:rsidRDefault="006F3755" w:rsidP="006F3755">
    <w:pPr>
      <w:pStyle w:val="Stopka"/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6F3755" w:rsidRPr="006F3755" w:rsidRDefault="006F3755" w:rsidP="006F375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6F3755" w:rsidRPr="006F3755" w:rsidRDefault="006F3755" w:rsidP="006F3755">
    <w:pPr>
      <w:pStyle w:val="Stopka"/>
      <w:ind w:right="281"/>
      <w:jc w:val="right"/>
      <w:rPr>
        <w:rFonts w:ascii="Arial" w:hAnsi="Arial" w:cs="Arial"/>
      </w:rPr>
    </w:pPr>
    <w:r w:rsidRPr="006F3755">
      <w:rPr>
        <w:rFonts w:ascii="Arial" w:hAnsi="Arial" w:cs="Arial"/>
        <w:sz w:val="18"/>
        <w:szCs w:val="18"/>
      </w:rPr>
      <w:t xml:space="preserve">str. </w:t>
    </w:r>
    <w:r w:rsidR="009D4EE4" w:rsidRPr="006F3755">
      <w:rPr>
        <w:rFonts w:ascii="Arial" w:hAnsi="Arial" w:cs="Arial"/>
        <w:sz w:val="18"/>
        <w:szCs w:val="18"/>
      </w:rPr>
      <w:fldChar w:fldCharType="begin"/>
    </w:r>
    <w:r w:rsidRPr="006F3755">
      <w:rPr>
        <w:rFonts w:ascii="Arial" w:hAnsi="Arial" w:cs="Arial"/>
        <w:sz w:val="18"/>
        <w:szCs w:val="18"/>
      </w:rPr>
      <w:instrText xml:space="preserve"> PAGE    \* MERGEFORMAT </w:instrText>
    </w:r>
    <w:r w:rsidR="009D4EE4" w:rsidRPr="006F3755">
      <w:rPr>
        <w:rFonts w:ascii="Arial" w:hAnsi="Arial" w:cs="Arial"/>
        <w:sz w:val="18"/>
        <w:szCs w:val="18"/>
      </w:rPr>
      <w:fldChar w:fldCharType="separate"/>
    </w:r>
    <w:r w:rsidR="00A855EC">
      <w:rPr>
        <w:rFonts w:ascii="Arial" w:hAnsi="Arial" w:cs="Arial"/>
        <w:noProof/>
        <w:sz w:val="18"/>
        <w:szCs w:val="18"/>
      </w:rPr>
      <w:t>1</w:t>
    </w:r>
    <w:r w:rsidR="009D4EE4" w:rsidRPr="006F3755">
      <w:rPr>
        <w:rFonts w:ascii="Arial" w:hAnsi="Arial" w:cs="Arial"/>
        <w:sz w:val="18"/>
        <w:szCs w:val="18"/>
      </w:rPr>
      <w:fldChar w:fldCharType="end"/>
    </w:r>
  </w:p>
  <w:p w:rsidR="006F3755" w:rsidRDefault="006F3755" w:rsidP="006F3755">
    <w:pPr>
      <w:pStyle w:val="Stopka"/>
      <w:ind w:left="426" w:right="565"/>
      <w:jc w:val="center"/>
    </w:pPr>
  </w:p>
  <w:p w:rsidR="006F3755" w:rsidRPr="00486FA5" w:rsidRDefault="006F3755" w:rsidP="006F3755">
    <w:pPr>
      <w:pStyle w:val="Stopka"/>
      <w:rPr>
        <w:szCs w:val="16"/>
      </w:rPr>
    </w:pPr>
  </w:p>
  <w:p w:rsidR="00824130" w:rsidRPr="006F3755" w:rsidRDefault="00824130" w:rsidP="006F37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C" w:rsidRDefault="00A85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6D" w:rsidRDefault="00AA396D" w:rsidP="000354D3">
      <w:pPr>
        <w:spacing w:after="0" w:line="240" w:lineRule="auto"/>
      </w:pPr>
      <w:r>
        <w:separator/>
      </w:r>
    </w:p>
  </w:footnote>
  <w:footnote w:type="continuationSeparator" w:id="0">
    <w:p w:rsidR="00AA396D" w:rsidRDefault="00AA396D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C" w:rsidRDefault="00A855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55" w:rsidRDefault="006F3755" w:rsidP="006F3755">
    <w:pPr>
      <w:jc w:val="center"/>
      <w:rPr>
        <w:b/>
        <w:i/>
        <w:color w:val="17365D"/>
      </w:rPr>
    </w:pPr>
  </w:p>
  <w:p w:rsidR="006F3755" w:rsidRDefault="006F3755" w:rsidP="006F3755">
    <w:pPr>
      <w:jc w:val="center"/>
      <w:rPr>
        <w:b/>
        <w:i/>
        <w:color w:val="17365D"/>
      </w:rPr>
    </w:pPr>
    <w:r>
      <w:rPr>
        <w:b/>
        <w:i/>
        <w:noProof/>
        <w:color w:val="17365D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4596130</wp:posOffset>
          </wp:positionH>
          <wp:positionV relativeFrom="margin">
            <wp:posOffset>-1350010</wp:posOffset>
          </wp:positionV>
          <wp:extent cx="1562312" cy="63500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312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3755" w:rsidRPr="005D2C3E" w:rsidRDefault="006F3755" w:rsidP="006F3755">
    <w:pPr>
      <w:jc w:val="center"/>
      <w:rPr>
        <w:b/>
        <w:i/>
        <w:color w:val="17365D"/>
      </w:rPr>
    </w:pPr>
    <w:r>
      <w:rPr>
        <w:b/>
        <w:i/>
        <w:noProof/>
        <w:color w:val="17365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17365D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3755" w:rsidRPr="00FE16FA" w:rsidRDefault="006F3755" w:rsidP="006F3755">
    <w:pPr>
      <w:tabs>
        <w:tab w:val="left" w:pos="4335"/>
      </w:tabs>
      <w:jc w:val="center"/>
      <w:rPr>
        <w:b/>
        <w:i/>
        <w:color w:val="17365D"/>
      </w:rPr>
    </w:pPr>
  </w:p>
  <w:p w:rsidR="006F3755" w:rsidRDefault="006F3755" w:rsidP="006F3755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</w:p>
  <w:p w:rsidR="002259CF" w:rsidRDefault="002259CF" w:rsidP="006F375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A120-211-6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C" w:rsidRDefault="00A855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03"/>
    <w:multiLevelType w:val="hybridMultilevel"/>
    <w:tmpl w:val="CB84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E98"/>
    <w:multiLevelType w:val="hybridMultilevel"/>
    <w:tmpl w:val="289899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5409D5"/>
    <w:multiLevelType w:val="hybridMultilevel"/>
    <w:tmpl w:val="BA5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54D3"/>
    <w:rsid w:val="00020FA3"/>
    <w:rsid w:val="000354D3"/>
    <w:rsid w:val="000463EF"/>
    <w:rsid w:val="001432A0"/>
    <w:rsid w:val="001B2CB6"/>
    <w:rsid w:val="001F546C"/>
    <w:rsid w:val="00207254"/>
    <w:rsid w:val="00207D38"/>
    <w:rsid w:val="002124A1"/>
    <w:rsid w:val="00216054"/>
    <w:rsid w:val="002259CF"/>
    <w:rsid w:val="00230A81"/>
    <w:rsid w:val="002474FA"/>
    <w:rsid w:val="002515DE"/>
    <w:rsid w:val="00271389"/>
    <w:rsid w:val="002C04EB"/>
    <w:rsid w:val="002C75F4"/>
    <w:rsid w:val="002C7DE6"/>
    <w:rsid w:val="002F4E9A"/>
    <w:rsid w:val="00303EE9"/>
    <w:rsid w:val="003312D3"/>
    <w:rsid w:val="00350830"/>
    <w:rsid w:val="00376BC1"/>
    <w:rsid w:val="003C1701"/>
    <w:rsid w:val="0045488C"/>
    <w:rsid w:val="004567FA"/>
    <w:rsid w:val="004666D0"/>
    <w:rsid w:val="004749B4"/>
    <w:rsid w:val="004751C0"/>
    <w:rsid w:val="004960FC"/>
    <w:rsid w:val="004A60EF"/>
    <w:rsid w:val="004E16D5"/>
    <w:rsid w:val="005315AC"/>
    <w:rsid w:val="005509F2"/>
    <w:rsid w:val="0055587B"/>
    <w:rsid w:val="005616BE"/>
    <w:rsid w:val="00597B89"/>
    <w:rsid w:val="005F5E89"/>
    <w:rsid w:val="00640E74"/>
    <w:rsid w:val="006A756E"/>
    <w:rsid w:val="006B0F3A"/>
    <w:rsid w:val="006F3755"/>
    <w:rsid w:val="00733F7C"/>
    <w:rsid w:val="00764245"/>
    <w:rsid w:val="00767A99"/>
    <w:rsid w:val="0078145C"/>
    <w:rsid w:val="007A250D"/>
    <w:rsid w:val="007A5C9C"/>
    <w:rsid w:val="007E66BC"/>
    <w:rsid w:val="00805CBF"/>
    <w:rsid w:val="00823C50"/>
    <w:rsid w:val="00824130"/>
    <w:rsid w:val="008643B4"/>
    <w:rsid w:val="00876CD1"/>
    <w:rsid w:val="008C52A4"/>
    <w:rsid w:val="008D4C23"/>
    <w:rsid w:val="009132EC"/>
    <w:rsid w:val="00914FB0"/>
    <w:rsid w:val="009210D1"/>
    <w:rsid w:val="009316F9"/>
    <w:rsid w:val="009651E5"/>
    <w:rsid w:val="00986F40"/>
    <w:rsid w:val="009B5A05"/>
    <w:rsid w:val="009D4EE4"/>
    <w:rsid w:val="00A27298"/>
    <w:rsid w:val="00A338D8"/>
    <w:rsid w:val="00A577A4"/>
    <w:rsid w:val="00A855EC"/>
    <w:rsid w:val="00AA396D"/>
    <w:rsid w:val="00AE309B"/>
    <w:rsid w:val="00AF578C"/>
    <w:rsid w:val="00B07786"/>
    <w:rsid w:val="00B14EFA"/>
    <w:rsid w:val="00B224CB"/>
    <w:rsid w:val="00B35D1A"/>
    <w:rsid w:val="00B51551"/>
    <w:rsid w:val="00B60877"/>
    <w:rsid w:val="00B829A5"/>
    <w:rsid w:val="00B91739"/>
    <w:rsid w:val="00B94EF8"/>
    <w:rsid w:val="00BA71BD"/>
    <w:rsid w:val="00BB3AF0"/>
    <w:rsid w:val="00BB71BD"/>
    <w:rsid w:val="00C107A5"/>
    <w:rsid w:val="00C22513"/>
    <w:rsid w:val="00C44EF6"/>
    <w:rsid w:val="00C530F9"/>
    <w:rsid w:val="00C87632"/>
    <w:rsid w:val="00CB13F1"/>
    <w:rsid w:val="00CC6DD8"/>
    <w:rsid w:val="00CF3044"/>
    <w:rsid w:val="00D35262"/>
    <w:rsid w:val="00D72815"/>
    <w:rsid w:val="00D85EAA"/>
    <w:rsid w:val="00DB254D"/>
    <w:rsid w:val="00E11D92"/>
    <w:rsid w:val="00E47606"/>
    <w:rsid w:val="00E70DE2"/>
    <w:rsid w:val="00E87CC3"/>
    <w:rsid w:val="00EF0830"/>
    <w:rsid w:val="00F21245"/>
    <w:rsid w:val="00F52321"/>
    <w:rsid w:val="00F91425"/>
    <w:rsid w:val="00FA516D"/>
    <w:rsid w:val="00FC1CB0"/>
    <w:rsid w:val="00FE1368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7AE-AD3A-48C0-A165-C4A14FA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w.witkowski</cp:lastModifiedBy>
  <cp:revision>10</cp:revision>
  <dcterms:created xsi:type="dcterms:W3CDTF">2015-02-19T15:21:00Z</dcterms:created>
  <dcterms:modified xsi:type="dcterms:W3CDTF">2016-01-25T13:37:00Z</dcterms:modified>
</cp:coreProperties>
</file>