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910C4C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E36B4A">
        <w:rPr>
          <w:rFonts w:ascii="Arial" w:hAnsi="Arial" w:cs="Arial"/>
          <w:sz w:val="22"/>
          <w:szCs w:val="22"/>
        </w:rPr>
        <w:t xml:space="preserve">APARATURY NAUKOWEJ </w:t>
      </w:r>
      <w:r w:rsidR="00E6714D" w:rsidRPr="00FB33A6">
        <w:rPr>
          <w:rFonts w:ascii="Arial" w:hAnsi="Arial" w:cs="Arial"/>
          <w:sz w:val="22"/>
          <w:szCs w:val="22"/>
        </w:rPr>
        <w:t>DLA UNIWERS</w:t>
      </w:r>
      <w:r w:rsidR="0026552F" w:rsidRPr="00FB33A6">
        <w:rPr>
          <w:rFonts w:ascii="Arial" w:hAnsi="Arial" w:cs="Arial"/>
          <w:sz w:val="22"/>
          <w:szCs w:val="22"/>
        </w:rPr>
        <w:t>YTETU GDAŃSKIEGO</w:t>
      </w:r>
      <w:r w:rsidR="0026552F">
        <w:rPr>
          <w:rFonts w:ascii="Arial" w:hAnsi="Arial" w:cs="Arial"/>
          <w:sz w:val="22"/>
          <w:szCs w:val="22"/>
        </w:rPr>
        <w:t xml:space="preserve"> </w:t>
      </w:r>
      <w:r w:rsidR="00E36B4A">
        <w:rPr>
          <w:rFonts w:ascii="Arial" w:hAnsi="Arial" w:cs="Arial"/>
          <w:sz w:val="22"/>
          <w:szCs w:val="22"/>
        </w:rPr>
        <w:br/>
        <w:t>WEDŁUG CZĘŚCI I-VI</w:t>
      </w:r>
      <w:r w:rsidR="00910C4C">
        <w:rPr>
          <w:rFonts w:ascii="Arial" w:hAnsi="Arial" w:cs="Arial"/>
          <w:sz w:val="22"/>
          <w:szCs w:val="22"/>
        </w:rPr>
        <w:t>:</w:t>
      </w:r>
    </w:p>
    <w:p w:rsidR="00910C4C" w:rsidRPr="008319CC" w:rsidRDefault="00910C4C" w:rsidP="00910C4C">
      <w:pPr>
        <w:pStyle w:val="Akapitzlist"/>
        <w:numPr>
          <w:ilvl w:val="0"/>
          <w:numId w:val="49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CIEPLARKI LABORATORYJNEJ</w:t>
      </w:r>
    </w:p>
    <w:p w:rsidR="00910C4C" w:rsidRPr="008319CC" w:rsidRDefault="00910C4C" w:rsidP="00910C4C">
      <w:pPr>
        <w:pStyle w:val="Akapitzlist"/>
        <w:numPr>
          <w:ilvl w:val="0"/>
          <w:numId w:val="49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>MIESZADŁA MAGNETYCZNEGO Z GRZANIEM</w:t>
      </w:r>
    </w:p>
    <w:p w:rsidR="00910C4C" w:rsidRPr="008319CC" w:rsidRDefault="00910C4C" w:rsidP="00910C4C">
      <w:pPr>
        <w:pStyle w:val="Akapitzlist"/>
        <w:numPr>
          <w:ilvl w:val="0"/>
          <w:numId w:val="49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MYJKI ULTRADŹWIĘKOWEJ</w:t>
      </w:r>
    </w:p>
    <w:p w:rsidR="00910C4C" w:rsidRPr="008319CC" w:rsidRDefault="00910C4C" w:rsidP="00910C4C">
      <w:pPr>
        <w:pStyle w:val="Akapitzlist"/>
        <w:numPr>
          <w:ilvl w:val="0"/>
          <w:numId w:val="49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>PALNIKA AUTOMATYCZNEGO Z BEZDOT</w:t>
      </w:r>
      <w:r>
        <w:rPr>
          <w:rFonts w:ascii="Arial" w:hAnsi="Arial" w:cs="Arial"/>
          <w:sz w:val="22"/>
          <w:szCs w:val="22"/>
        </w:rPr>
        <w:t>YKOWYM CZUJNIKIEM PODCZERWIENI</w:t>
      </w:r>
    </w:p>
    <w:p w:rsidR="00910C4C" w:rsidRPr="008319CC" w:rsidRDefault="00910C4C" w:rsidP="00910C4C">
      <w:pPr>
        <w:pStyle w:val="Akapitzlist"/>
        <w:numPr>
          <w:ilvl w:val="0"/>
          <w:numId w:val="49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 xml:space="preserve">STERYLIZATORA DO STERYLIZACJI SUCHYM POWIETRZEM (SUSZARKI DO SZKŁA)  </w:t>
      </w:r>
    </w:p>
    <w:p w:rsidR="00910C4C" w:rsidRPr="008319CC" w:rsidRDefault="00910C4C" w:rsidP="00910C4C">
      <w:pPr>
        <w:pStyle w:val="Akapitzlist"/>
        <w:numPr>
          <w:ilvl w:val="0"/>
          <w:numId w:val="49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WYTRZĄSARKI ORBITALNEJ</w:t>
      </w:r>
    </w:p>
    <w:p w:rsidR="00BC656E" w:rsidRDefault="0026552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E408B" w:rsidRPr="003D04BA" w:rsidRDefault="005E408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C1F69" w:rsidRPr="003D04BA" w:rsidRDefault="00BC1F69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07F3B" w:rsidRPr="003D04BA" w:rsidRDefault="00907F3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E81B55">
        <w:rPr>
          <w:rFonts w:ascii="Arial" w:hAnsi="Arial" w:cs="Arial"/>
          <w:color w:val="000000"/>
          <w:sz w:val="22"/>
          <w:szCs w:val="22"/>
        </w:rPr>
        <w:t>10.03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E81B55">
        <w:rPr>
          <w:rFonts w:ascii="Arial" w:hAnsi="Arial" w:cs="Arial"/>
          <w:color w:val="000000"/>
          <w:sz w:val="22"/>
          <w:szCs w:val="22"/>
        </w:rPr>
        <w:t>53472-2016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E81B55">
        <w:rPr>
          <w:rFonts w:ascii="Arial" w:hAnsi="Arial" w:cs="Arial"/>
          <w:color w:val="000000"/>
          <w:sz w:val="22"/>
          <w:szCs w:val="22"/>
        </w:rPr>
        <w:t>10.03.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E81B55">
        <w:rPr>
          <w:rFonts w:ascii="Arial" w:hAnsi="Arial" w:cs="Arial"/>
          <w:color w:val="000000"/>
          <w:sz w:val="22"/>
          <w:szCs w:val="22"/>
        </w:rPr>
        <w:t>10.03.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ul. 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9C1AC1">
        <w:fldChar w:fldCharType="begin"/>
      </w:r>
      <w:r w:rsidR="00E24F0B" w:rsidRPr="003D04BA">
        <w:instrText xml:space="preserve"> TOC \o "1-3" \h \z \u </w:instrText>
      </w:r>
      <w:r w:rsidRPr="009C1AC1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17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17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9C1AC1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43C84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9C1AC1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0A53C0" w:rsidRDefault="00E24F0B" w:rsidP="00EB00FD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EB00FD" w:rsidRPr="00EB00FD">
        <w:rPr>
          <w:rFonts w:ascii="Arial" w:hAnsi="Arial" w:cs="Arial"/>
          <w:sz w:val="22"/>
          <w:szCs w:val="22"/>
        </w:rPr>
        <w:t>aparatury naukowej dla Uniwersytetu Gdańskiego według części I-VI</w:t>
      </w:r>
      <w:r w:rsidR="00FB33A6" w:rsidRPr="00EB00FD">
        <w:rPr>
          <w:rFonts w:ascii="Arial" w:hAnsi="Arial" w:cs="Arial"/>
          <w:sz w:val="22"/>
          <w:szCs w:val="22"/>
        </w:rPr>
        <w:t xml:space="preserve">, </w:t>
      </w:r>
      <w:r w:rsidRPr="00EB00FD">
        <w:rPr>
          <w:rFonts w:ascii="Arial" w:hAnsi="Arial" w:cs="Arial"/>
          <w:sz w:val="22"/>
          <w:szCs w:val="22"/>
        </w:rPr>
        <w:t>zwan</w:t>
      </w:r>
      <w:r w:rsidR="00521DFC" w:rsidRPr="00EB00FD">
        <w:rPr>
          <w:rFonts w:ascii="Arial" w:hAnsi="Arial" w:cs="Arial"/>
          <w:sz w:val="22"/>
          <w:szCs w:val="22"/>
        </w:rPr>
        <w:t>e</w:t>
      </w:r>
      <w:r w:rsidR="00FB33A6" w:rsidRPr="00EB00FD">
        <w:rPr>
          <w:rFonts w:ascii="Arial" w:hAnsi="Arial" w:cs="Arial"/>
          <w:sz w:val="22"/>
          <w:szCs w:val="22"/>
        </w:rPr>
        <w:t>j</w:t>
      </w:r>
      <w:r w:rsidR="007608C3" w:rsidRPr="00EB00FD">
        <w:rPr>
          <w:rFonts w:ascii="Arial" w:hAnsi="Arial" w:cs="Arial"/>
          <w:sz w:val="22"/>
          <w:szCs w:val="22"/>
        </w:rPr>
        <w:t xml:space="preserve"> </w:t>
      </w:r>
      <w:r w:rsidR="00D51417" w:rsidRPr="00EB00FD">
        <w:rPr>
          <w:rFonts w:ascii="Arial" w:hAnsi="Arial" w:cs="Arial"/>
          <w:sz w:val="22"/>
          <w:szCs w:val="22"/>
        </w:rPr>
        <w:t>dalej „aparaturą”</w:t>
      </w:r>
      <w:r w:rsidR="000A53C0">
        <w:rPr>
          <w:rFonts w:ascii="Arial" w:hAnsi="Arial" w:cs="Arial"/>
          <w:sz w:val="22"/>
          <w:szCs w:val="22"/>
        </w:rPr>
        <w:t>:</w:t>
      </w:r>
    </w:p>
    <w:p w:rsidR="008319CC" w:rsidRPr="008319CC" w:rsidRDefault="008319CC" w:rsidP="00910C4C">
      <w:pPr>
        <w:pStyle w:val="Akapitzlist"/>
        <w:numPr>
          <w:ilvl w:val="0"/>
          <w:numId w:val="50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>cieplarki laboratoryjnej,</w:t>
      </w:r>
    </w:p>
    <w:p w:rsidR="008319CC" w:rsidRPr="008319CC" w:rsidRDefault="008319CC" w:rsidP="00910C4C">
      <w:pPr>
        <w:pStyle w:val="Akapitzlist"/>
        <w:numPr>
          <w:ilvl w:val="0"/>
          <w:numId w:val="50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>mieszadła magnetycznego z grzaniem,</w:t>
      </w:r>
    </w:p>
    <w:p w:rsidR="008319CC" w:rsidRPr="008319CC" w:rsidRDefault="008319CC" w:rsidP="00910C4C">
      <w:pPr>
        <w:pStyle w:val="Akapitzlist"/>
        <w:numPr>
          <w:ilvl w:val="0"/>
          <w:numId w:val="50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>myjki ultradźwiękowej,</w:t>
      </w:r>
    </w:p>
    <w:p w:rsidR="008319CC" w:rsidRPr="008319CC" w:rsidRDefault="008319CC" w:rsidP="00910C4C">
      <w:pPr>
        <w:pStyle w:val="Akapitzlist"/>
        <w:numPr>
          <w:ilvl w:val="0"/>
          <w:numId w:val="50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 xml:space="preserve">palnika automatycznego z bezdotykowym czujnikiem podczerwieni, </w:t>
      </w:r>
    </w:p>
    <w:p w:rsidR="008319CC" w:rsidRPr="008319CC" w:rsidRDefault="008319CC" w:rsidP="00910C4C">
      <w:pPr>
        <w:pStyle w:val="Akapitzlist"/>
        <w:numPr>
          <w:ilvl w:val="0"/>
          <w:numId w:val="50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 xml:space="preserve">sterylizatora do sterylizacji suchym powietrzem (suszarki do szkła),  </w:t>
      </w:r>
    </w:p>
    <w:p w:rsidR="00882272" w:rsidRPr="008319CC" w:rsidRDefault="008319CC" w:rsidP="00910C4C">
      <w:pPr>
        <w:pStyle w:val="Akapitzlist"/>
        <w:numPr>
          <w:ilvl w:val="0"/>
          <w:numId w:val="50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19CC">
        <w:rPr>
          <w:rFonts w:ascii="Arial" w:hAnsi="Arial" w:cs="Arial"/>
          <w:sz w:val="22"/>
          <w:szCs w:val="22"/>
        </w:rPr>
        <w:t>wytrząsarki orbitalnej</w:t>
      </w:r>
      <w:r w:rsidR="00D51417" w:rsidRPr="008319CC">
        <w:rPr>
          <w:rFonts w:ascii="Arial" w:hAnsi="Arial" w:cs="Arial"/>
          <w:sz w:val="22"/>
          <w:szCs w:val="22"/>
        </w:rPr>
        <w:t>.</w:t>
      </w:r>
      <w:r w:rsidR="00E24F0B" w:rsidRPr="008319CC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="00B24497">
        <w:rPr>
          <w:rFonts w:ascii="Arial" w:hAnsi="Arial" w:cs="Arial"/>
          <w:b/>
          <w:sz w:val="22"/>
          <w:szCs w:val="22"/>
        </w:rPr>
        <w:t xml:space="preserve"> </w:t>
      </w:r>
      <w:r w:rsidR="00B24497" w:rsidRPr="003D04BA">
        <w:rPr>
          <w:rFonts w:ascii="Arial" w:hAnsi="Arial" w:cs="Arial"/>
          <w:b/>
          <w:sz w:val="22"/>
          <w:szCs w:val="22"/>
        </w:rPr>
        <w:t xml:space="preserve">-  </w:t>
      </w:r>
      <w:r w:rsidR="00B24497" w:rsidRPr="003D04BA">
        <w:rPr>
          <w:rFonts w:ascii="Arial" w:hAnsi="Arial" w:cs="Arial"/>
          <w:sz w:val="22"/>
          <w:szCs w:val="22"/>
        </w:rPr>
        <w:t>odpowiednio do części I-</w:t>
      </w:r>
      <w:r w:rsidR="00B24497">
        <w:rPr>
          <w:rFonts w:ascii="Arial" w:hAnsi="Arial" w:cs="Arial"/>
          <w:sz w:val="22"/>
          <w:szCs w:val="22"/>
        </w:rPr>
        <w:t>VI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dostarczy aparaturę do</w:t>
      </w:r>
      <w:r w:rsidR="00F84D0B" w:rsidRPr="003D04BA">
        <w:rPr>
          <w:rFonts w:ascii="Arial" w:hAnsi="Arial" w:cs="Arial"/>
          <w:sz w:val="22"/>
          <w:szCs w:val="22"/>
        </w:rPr>
        <w:t xml:space="preserve"> </w:t>
      </w:r>
      <w:r w:rsidR="008319CC" w:rsidRPr="008319CC">
        <w:rPr>
          <w:rFonts w:ascii="Arial" w:hAnsi="Arial" w:cs="Arial"/>
          <w:sz w:val="22"/>
          <w:szCs w:val="22"/>
        </w:rPr>
        <w:t>Wydział</w:t>
      </w:r>
      <w:r w:rsidR="008319CC">
        <w:rPr>
          <w:rFonts w:ascii="Arial" w:hAnsi="Arial" w:cs="Arial"/>
          <w:sz w:val="22"/>
          <w:szCs w:val="22"/>
        </w:rPr>
        <w:t>u</w:t>
      </w:r>
      <w:r w:rsidR="008319CC" w:rsidRPr="008319CC">
        <w:rPr>
          <w:rFonts w:ascii="Arial" w:hAnsi="Arial" w:cs="Arial"/>
          <w:sz w:val="22"/>
          <w:szCs w:val="22"/>
        </w:rPr>
        <w:t xml:space="preserve"> Biologii,  Katedra Cytologii i Embriologii Roślin, </w:t>
      </w:r>
      <w:r w:rsidR="008319CC">
        <w:rPr>
          <w:rFonts w:ascii="Arial" w:hAnsi="Arial" w:cs="Arial"/>
          <w:sz w:val="22"/>
          <w:szCs w:val="22"/>
        </w:rPr>
        <w:br/>
      </w:r>
      <w:r w:rsidR="008319CC" w:rsidRPr="008319CC">
        <w:rPr>
          <w:rFonts w:ascii="Arial" w:hAnsi="Arial" w:cs="Arial"/>
          <w:sz w:val="22"/>
          <w:szCs w:val="22"/>
        </w:rPr>
        <w:t>ul. Wita Stwosza 59, 80-308 Gdańsk pokój B/111</w:t>
      </w:r>
      <w:r w:rsidR="001E3064">
        <w:rPr>
          <w:rFonts w:ascii="Arial" w:hAnsi="Arial" w:cs="Arial"/>
          <w:sz w:val="22"/>
          <w:szCs w:val="22"/>
        </w:rPr>
        <w:t>.</w:t>
      </w:r>
      <w:r w:rsidR="00904F20" w:rsidRPr="00904F20">
        <w:rPr>
          <w:rFonts w:ascii="Arial" w:hAnsi="Arial" w:cs="Arial"/>
          <w:sz w:val="22"/>
          <w:szCs w:val="22"/>
        </w:rPr>
        <w:t xml:space="preserve"> </w:t>
      </w:r>
    </w:p>
    <w:p w:rsidR="006D5958" w:rsidRPr="00904F20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904F20">
        <w:rPr>
          <w:rFonts w:ascii="Arial" w:hAnsi="Arial" w:cs="Arial"/>
          <w:sz w:val="22"/>
          <w:szCs w:val="22"/>
        </w:rPr>
        <w:t xml:space="preserve">Wykonawca poniesie koszty przewozu i opakowania </w:t>
      </w:r>
      <w:r w:rsidR="00656027" w:rsidRPr="00904F20">
        <w:rPr>
          <w:rFonts w:ascii="Arial" w:hAnsi="Arial" w:cs="Arial"/>
          <w:sz w:val="22"/>
          <w:szCs w:val="22"/>
        </w:rPr>
        <w:t>aparatury</w:t>
      </w:r>
      <w:r w:rsidRPr="00904F20">
        <w:rPr>
          <w:rFonts w:ascii="Arial" w:hAnsi="Arial" w:cs="Arial"/>
          <w:sz w:val="22"/>
          <w:szCs w:val="22"/>
        </w:rPr>
        <w:t xml:space="preserve">.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zapewni wyładunek </w:t>
      </w:r>
      <w:r w:rsidR="00656027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 w miejscu wskazanym przez Zamawiającego w pkt. 4.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0D5D7F">
        <w:rPr>
          <w:rFonts w:ascii="Arial" w:hAnsi="Arial" w:cs="Arial"/>
          <w:sz w:val="22"/>
          <w:szCs w:val="22"/>
        </w:rPr>
        <w:t>2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BC656E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 wykorzystujące</w:t>
      </w:r>
      <w:r w:rsidR="000F7F84" w:rsidRPr="003D04BA">
        <w:rPr>
          <w:rFonts w:ascii="Arial" w:hAnsi="Arial" w:cs="Arial"/>
          <w:sz w:val="22"/>
          <w:szCs w:val="22"/>
        </w:rPr>
        <w:t>j</w:t>
      </w:r>
      <w:r w:rsidRPr="003D04BA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efektywności energetycznej i podstawowych parametrach </w:t>
      </w:r>
      <w:r w:rsidR="00061769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, np. zużyciu energii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poziomie hałasu (wydane zgodnie z wymogami określonymi w ustawie z dnia 14.09.2012 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obowiązkach w zakresie informowania o zużyciu energii przez produkty wykorzystujące energię </w:t>
      </w:r>
      <w:r w:rsidR="006B3DAF" w:rsidRPr="003D04BA">
        <w:rPr>
          <w:rFonts w:ascii="Arial" w:hAnsi="Arial" w:cs="Arial"/>
          <w:sz w:val="22"/>
          <w:szCs w:val="22"/>
        </w:rPr>
        <w:t>[</w:t>
      </w:r>
      <w:r w:rsidRPr="003D04BA">
        <w:rPr>
          <w:rFonts w:ascii="Arial" w:hAnsi="Arial" w:cs="Arial"/>
          <w:sz w:val="22"/>
          <w:szCs w:val="22"/>
        </w:rPr>
        <w:t>Dz. U. z 31.10.2012 r. poz. 1203</w:t>
      </w:r>
      <w:r w:rsidR="006B3DAF" w:rsidRPr="003D04BA">
        <w:rPr>
          <w:rFonts w:ascii="Arial" w:hAnsi="Arial" w:cs="Arial"/>
          <w:sz w:val="22"/>
          <w:szCs w:val="22"/>
        </w:rPr>
        <w:t>]</w:t>
      </w:r>
      <w:r w:rsidRPr="003D04BA">
        <w:rPr>
          <w:rFonts w:ascii="Arial" w:hAnsi="Arial" w:cs="Arial"/>
          <w:sz w:val="22"/>
          <w:szCs w:val="22"/>
        </w:rPr>
        <w:t>).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8319CC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</w:p>
    <w:p w:rsidR="008319CC" w:rsidRDefault="00C545FF" w:rsidP="008319CC">
      <w:pPr>
        <w:pStyle w:val="Akapitzlist"/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545FF">
        <w:rPr>
          <w:rFonts w:ascii="Arial" w:hAnsi="Arial" w:cs="Arial"/>
          <w:b/>
          <w:sz w:val="22"/>
          <w:szCs w:val="22"/>
        </w:rPr>
        <w:t>2</w:t>
      </w:r>
      <w:r w:rsidR="00F03E8A">
        <w:rPr>
          <w:rFonts w:ascii="Arial" w:hAnsi="Arial" w:cs="Arial"/>
          <w:b/>
          <w:sz w:val="22"/>
          <w:szCs w:val="22"/>
        </w:rPr>
        <w:t>4</w:t>
      </w:r>
      <w:r w:rsidR="00541A53" w:rsidRPr="00C545FF">
        <w:rPr>
          <w:rFonts w:ascii="Arial" w:hAnsi="Arial" w:cs="Arial"/>
          <w:sz w:val="22"/>
          <w:szCs w:val="22"/>
        </w:rPr>
        <w:t xml:space="preserve"> miesi</w:t>
      </w:r>
      <w:r w:rsidR="00F03E8A">
        <w:rPr>
          <w:rFonts w:ascii="Arial" w:hAnsi="Arial" w:cs="Arial"/>
          <w:sz w:val="22"/>
          <w:szCs w:val="22"/>
        </w:rPr>
        <w:t>ą</w:t>
      </w:r>
      <w:r w:rsidR="00541A53" w:rsidRPr="00C545FF">
        <w:rPr>
          <w:rFonts w:ascii="Arial" w:hAnsi="Arial" w:cs="Arial"/>
          <w:sz w:val="22"/>
          <w:szCs w:val="22"/>
        </w:rPr>
        <w:t>c</w:t>
      </w:r>
      <w:r w:rsidR="00F03E8A">
        <w:rPr>
          <w:rFonts w:ascii="Arial" w:hAnsi="Arial" w:cs="Arial"/>
          <w:sz w:val="22"/>
          <w:szCs w:val="22"/>
        </w:rPr>
        <w:t xml:space="preserve">e </w:t>
      </w:r>
      <w:r w:rsidR="008319CC">
        <w:rPr>
          <w:rFonts w:ascii="Arial" w:hAnsi="Arial" w:cs="Arial"/>
          <w:sz w:val="22"/>
          <w:szCs w:val="22"/>
        </w:rPr>
        <w:t>– dla części I, II, IV-VI,</w:t>
      </w:r>
    </w:p>
    <w:p w:rsidR="008319CC" w:rsidRDefault="008319CC" w:rsidP="008319CC">
      <w:pPr>
        <w:pStyle w:val="Akapitzlist"/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C545FF">
        <w:rPr>
          <w:rFonts w:ascii="Arial" w:hAnsi="Arial" w:cs="Arial"/>
          <w:b/>
          <w:sz w:val="22"/>
          <w:szCs w:val="22"/>
        </w:rPr>
        <w:t>2</w:t>
      </w:r>
      <w:r w:rsidRPr="00C545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C545F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y – dla części III, </w:t>
      </w:r>
    </w:p>
    <w:p w:rsidR="008F4EAF" w:rsidRPr="00C545FF" w:rsidRDefault="00F03E8A" w:rsidP="008319CC">
      <w:pPr>
        <w:pStyle w:val="Akapitzlist"/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840D2">
        <w:rPr>
          <w:rFonts w:ascii="Arial" w:hAnsi="Arial" w:cs="Arial"/>
          <w:sz w:val="22"/>
          <w:szCs w:val="22"/>
        </w:rPr>
        <w:t>z uwzględnieniem zapisów rozdziału XII pkt 1, lit b SIWZ</w:t>
      </w:r>
      <w:r>
        <w:rPr>
          <w:rFonts w:ascii="Arial" w:hAnsi="Arial" w:cs="Arial"/>
          <w:sz w:val="22"/>
          <w:szCs w:val="22"/>
        </w:rPr>
        <w:t>)</w:t>
      </w:r>
      <w:r w:rsidR="00910C4C">
        <w:rPr>
          <w:rFonts w:ascii="Arial" w:hAnsi="Arial" w:cs="Arial"/>
          <w:sz w:val="22"/>
          <w:szCs w:val="22"/>
        </w:rPr>
        <w:t xml:space="preserve">. Okres gwarancji jest jednym </w:t>
      </w:r>
      <w:r w:rsidR="00910C4C">
        <w:rPr>
          <w:rFonts w:ascii="Arial" w:hAnsi="Arial" w:cs="Arial"/>
          <w:sz w:val="22"/>
          <w:szCs w:val="22"/>
        </w:rPr>
        <w:br/>
        <w:t>z kryteriów oceny ofert</w:t>
      </w:r>
      <w:r w:rsidR="008F4EAF" w:rsidRPr="00C545FF">
        <w:rPr>
          <w:rFonts w:ascii="Arial" w:hAnsi="Arial" w:cs="Arial"/>
          <w:sz w:val="22"/>
          <w:szCs w:val="22"/>
        </w:rPr>
        <w:t>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431493">
        <w:rPr>
          <w:rFonts w:ascii="Arial" w:hAnsi="Arial" w:cs="Arial"/>
          <w:sz w:val="22"/>
          <w:szCs w:val="22"/>
        </w:rPr>
        <w:t>1</w:t>
      </w:r>
      <w:r w:rsidRPr="003D04BA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a Wykonawca jest obowiązany do </w:t>
      </w:r>
      <w:r w:rsidR="00C033EA" w:rsidRPr="003D04BA">
        <w:rPr>
          <w:rFonts w:ascii="Arial" w:hAnsi="Arial" w:cs="Arial"/>
          <w:sz w:val="22"/>
          <w:szCs w:val="22"/>
        </w:rPr>
        <w:t xml:space="preserve">niezwłocznej </w:t>
      </w:r>
      <w:r w:rsidR="00186AC5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 xml:space="preserve">wymiany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nową</w:t>
      </w:r>
      <w:r w:rsidR="00FF4C1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wolną od wad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910C4C">
        <w:rPr>
          <w:rFonts w:ascii="Arial" w:hAnsi="Arial" w:cs="Arial"/>
          <w:sz w:val="22"/>
          <w:szCs w:val="22"/>
        </w:rPr>
        <w:t xml:space="preserve"> ust. 1 pkt. 1 umowy - </w:t>
      </w:r>
      <w:r w:rsidR="000B48A5" w:rsidRPr="003D04BA">
        <w:rPr>
          <w:rFonts w:ascii="Arial" w:hAnsi="Arial" w:cs="Arial"/>
          <w:sz w:val="22"/>
          <w:szCs w:val="22"/>
        </w:rPr>
        <w:t>załącznik</w:t>
      </w:r>
      <w:r w:rsidR="00910C4C">
        <w:rPr>
          <w:rFonts w:ascii="Arial" w:hAnsi="Arial" w:cs="Arial"/>
          <w:sz w:val="22"/>
          <w:szCs w:val="22"/>
        </w:rPr>
        <w:t>a</w:t>
      </w:r>
      <w:r w:rsidR="000B48A5" w:rsidRPr="003D04BA">
        <w:rPr>
          <w:rFonts w:ascii="Arial" w:hAnsi="Arial" w:cs="Arial"/>
          <w:sz w:val="22"/>
          <w:szCs w:val="22"/>
        </w:rPr>
        <w:t xml:space="preserve"> n</w:t>
      </w:r>
      <w:r w:rsidR="00910C4C">
        <w:rPr>
          <w:rFonts w:ascii="Arial" w:hAnsi="Arial" w:cs="Arial"/>
          <w:sz w:val="22"/>
          <w:szCs w:val="22"/>
        </w:rPr>
        <w:t>r 6 do SIWZ</w:t>
      </w:r>
      <w:r w:rsidR="000B48A5" w:rsidRPr="003D04BA">
        <w:rPr>
          <w:rFonts w:ascii="Arial" w:hAnsi="Arial" w:cs="Arial"/>
          <w:sz w:val="22"/>
          <w:szCs w:val="22"/>
        </w:rPr>
        <w:t>.</w:t>
      </w:r>
    </w:p>
    <w:p w:rsidR="00CE4154" w:rsidRPr="003D04BA" w:rsidRDefault="00CE4154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Toc405195642"/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CE4154" w:rsidRPr="003D04BA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 w:rsidR="00AB1C88"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CE4154" w:rsidRPr="003D04BA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zapewni obsługę gwarancyjną</w:t>
      </w:r>
      <w:r>
        <w:rPr>
          <w:rFonts w:ascii="Arial" w:hAnsi="Arial" w:cs="Arial"/>
          <w:sz w:val="22"/>
          <w:szCs w:val="22"/>
        </w:rPr>
        <w:t>,</w:t>
      </w:r>
    </w:p>
    <w:p w:rsidR="00CE4154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zrealizuje cz</w:t>
      </w:r>
      <w:r w:rsidR="00350981">
        <w:rPr>
          <w:rFonts w:ascii="Arial" w:hAnsi="Arial" w:cs="Arial"/>
          <w:sz w:val="22"/>
          <w:szCs w:val="22"/>
        </w:rPr>
        <w:t>ynności, o których mowa w pkt. 4</w:t>
      </w:r>
      <w:r w:rsidRPr="003D04BA">
        <w:rPr>
          <w:rFonts w:ascii="Arial" w:hAnsi="Arial" w:cs="Arial"/>
          <w:sz w:val="22"/>
          <w:szCs w:val="22"/>
        </w:rPr>
        <w:t>-8</w:t>
      </w:r>
      <w:r>
        <w:rPr>
          <w:rFonts w:ascii="Arial" w:hAnsi="Arial" w:cs="Arial"/>
          <w:sz w:val="22"/>
          <w:szCs w:val="22"/>
        </w:rPr>
        <w:t>,</w:t>
      </w:r>
    </w:p>
    <w:p w:rsidR="00CE4154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CE4154" w:rsidRPr="00AA7CA7" w:rsidRDefault="00973BDD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CE4154"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="00CE4154"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="00CE4154"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 w:rsidR="00CE4154">
        <w:rPr>
          <w:rFonts w:ascii="Arial" w:hAnsi="Arial" w:cs="Arial"/>
          <w:sz w:val="22"/>
          <w:szCs w:val="22"/>
        </w:rPr>
        <w:t>w pkt 4</w:t>
      </w:r>
      <w:r w:rsidR="00CE4154" w:rsidRPr="00AA7CA7">
        <w:rPr>
          <w:rFonts w:ascii="Arial" w:hAnsi="Arial" w:cs="Arial"/>
          <w:sz w:val="22"/>
          <w:szCs w:val="22"/>
        </w:rPr>
        <w:t>,</w:t>
      </w:r>
    </w:p>
    <w:p w:rsidR="00CE4154" w:rsidRPr="00AA7CA7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CE4154" w:rsidRPr="00AA7CA7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lastRenderedPageBreak/>
        <w:t xml:space="preserve">dostarczy wraz z fakturą podpisany przez obie strony bez zastrzeżeń protokół odbiorczy </w:t>
      </w:r>
      <w:r w:rsidR="00923F92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8319CC">
        <w:rPr>
          <w:rFonts w:ascii="Arial" w:hAnsi="Arial" w:cs="Arial"/>
          <w:sz w:val="22"/>
          <w:szCs w:val="22"/>
        </w:rPr>
        <w:t>6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5105EE" w:rsidRPr="003D04BA" w:rsidRDefault="005105EE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Oświadczenie Wykonawcy, że spełnia warunki udziału w postępowaniu o których mowa w art.22 ust.1 ustawy podpisane przez osobę(y) upoważnioną(e) do reprezentowania Wykonawcy </w:t>
      </w:r>
      <w:r w:rsidR="00E14BD6" w:rsidRPr="003D04BA">
        <w:rPr>
          <w:rFonts w:ascii="Arial" w:hAnsi="Arial" w:cs="Arial"/>
          <w:b/>
          <w:sz w:val="22"/>
          <w:szCs w:val="22"/>
        </w:rPr>
        <w:t>-</w:t>
      </w:r>
      <w:r w:rsidR="00E14BD6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załącznik nr 3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3D04BA">
        <w:rPr>
          <w:rFonts w:ascii="Arial" w:hAnsi="Arial" w:cs="Arial"/>
          <w:i/>
          <w:sz w:val="22"/>
          <w:szCs w:val="22"/>
        </w:rPr>
        <w:t xml:space="preserve">każdy z warunków określonych w art. 22 ust. 1 ustawy powinien spełniać co najmniej jeden z tych Wykonawców </w:t>
      </w:r>
      <w:r w:rsidR="00B63E64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>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lastRenderedPageBreak/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4F47E3">
        <w:rPr>
          <w:rFonts w:ascii="Arial" w:hAnsi="Arial" w:cs="Arial"/>
          <w:sz w:val="22"/>
          <w:szCs w:val="22"/>
        </w:rPr>
        <w:t xml:space="preserve"> - </w:t>
      </w:r>
      <w:r w:rsidR="004F47E3" w:rsidRPr="003D04BA">
        <w:rPr>
          <w:rFonts w:ascii="Arial" w:hAnsi="Arial" w:cs="Arial"/>
          <w:sz w:val="22"/>
          <w:szCs w:val="22"/>
        </w:rPr>
        <w:t>odpowiednio do części I-</w:t>
      </w:r>
      <w:r w:rsidR="004F47E3">
        <w:rPr>
          <w:rFonts w:ascii="Arial" w:hAnsi="Arial" w:cs="Arial"/>
          <w:sz w:val="22"/>
          <w:szCs w:val="22"/>
        </w:rPr>
        <w:t>VI</w:t>
      </w:r>
      <w:r w:rsidR="004F47E3" w:rsidRPr="003D04BA">
        <w:rPr>
          <w:rFonts w:ascii="Arial" w:hAnsi="Arial" w:cs="Arial"/>
          <w:sz w:val="22"/>
          <w:szCs w:val="22"/>
        </w:rPr>
        <w:t xml:space="preserve">. </w:t>
      </w:r>
      <w:r w:rsidR="00F1603E">
        <w:rPr>
          <w:rFonts w:ascii="Arial" w:hAnsi="Arial" w:cs="Arial"/>
          <w:sz w:val="22"/>
          <w:szCs w:val="22"/>
        </w:rPr>
        <w:t>Dopuszcza się wydruki kart katalogowych ze strony internetowej.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F1603E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F1603E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</w:t>
      </w:r>
      <w:r w:rsidR="00F1603E">
        <w:rPr>
          <w:rFonts w:ascii="Arial" w:hAnsi="Arial" w:cs="Arial"/>
          <w:sz w:val="22"/>
          <w:szCs w:val="22"/>
        </w:rPr>
        <w:t xml:space="preserve"> decyzji właściwego </w:t>
      </w:r>
      <w:r w:rsidRPr="002E3338">
        <w:rPr>
          <w:rFonts w:ascii="Arial" w:hAnsi="Arial" w:cs="Arial"/>
          <w:sz w:val="22"/>
          <w:szCs w:val="22"/>
        </w:rPr>
        <w:t>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poświadczonymi za zgodność z oryginałem przez Wykonawcę. Wykonawca wg swojego uznania może złożyć tłumaczenie sporządzone przez tłumacza przysięgłego, </w:t>
      </w:r>
      <w:r w:rsidR="002E333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ul. 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C87BA4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 xml:space="preserve">Zamawiający </w:t>
      </w:r>
      <w:r w:rsidR="00C87BA4">
        <w:rPr>
          <w:rFonts w:ascii="Arial" w:hAnsi="Arial" w:cs="Arial"/>
          <w:sz w:val="22"/>
          <w:szCs w:val="22"/>
        </w:rPr>
        <w:t xml:space="preserve">nie </w:t>
      </w:r>
      <w:r w:rsidRPr="00090029">
        <w:rPr>
          <w:rFonts w:ascii="Arial" w:hAnsi="Arial" w:cs="Arial"/>
          <w:sz w:val="22"/>
          <w:szCs w:val="22"/>
        </w:rPr>
        <w:t>wymaga wniesienia wadium</w:t>
      </w:r>
      <w:r w:rsidR="00C87BA4">
        <w:rPr>
          <w:rFonts w:ascii="Arial" w:hAnsi="Arial" w:cs="Arial"/>
          <w:sz w:val="22"/>
          <w:szCs w:val="22"/>
        </w:rPr>
        <w:t>.</w:t>
      </w:r>
      <w:r w:rsidRPr="00090029">
        <w:rPr>
          <w:rFonts w:ascii="Arial" w:hAnsi="Arial" w:cs="Arial"/>
          <w:sz w:val="22"/>
          <w:szCs w:val="22"/>
        </w:rPr>
        <w:t xml:space="preserve"> 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</w:t>
      </w:r>
      <w:r w:rsidRPr="003D04BA">
        <w:rPr>
          <w:rFonts w:ascii="Arial" w:hAnsi="Arial" w:cs="Arial"/>
          <w:sz w:val="22"/>
          <w:szCs w:val="22"/>
        </w:rPr>
        <w:lastRenderedPageBreak/>
        <w:t xml:space="preserve">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B34436">
        <w:rPr>
          <w:rFonts w:ascii="Arial" w:hAnsi="Arial" w:cs="Arial"/>
          <w:b/>
          <w:sz w:val="22"/>
          <w:szCs w:val="22"/>
        </w:rPr>
        <w:t xml:space="preserve"> </w:t>
      </w:r>
      <w:r w:rsidR="00B34436" w:rsidRPr="00B34436">
        <w:rPr>
          <w:rFonts w:ascii="Arial" w:hAnsi="Arial" w:cs="Arial"/>
          <w:sz w:val="22"/>
          <w:szCs w:val="22"/>
        </w:rPr>
        <w:t>-</w:t>
      </w:r>
      <w:r w:rsidR="00B34436">
        <w:rPr>
          <w:rFonts w:ascii="Arial" w:hAnsi="Arial" w:cs="Arial"/>
          <w:b/>
          <w:sz w:val="22"/>
          <w:szCs w:val="22"/>
        </w:rPr>
        <w:t xml:space="preserve"> </w:t>
      </w:r>
      <w:r w:rsidR="00B34436" w:rsidRPr="003D04BA">
        <w:rPr>
          <w:rFonts w:ascii="Arial" w:hAnsi="Arial" w:cs="Arial"/>
          <w:sz w:val="22"/>
          <w:szCs w:val="22"/>
        </w:rPr>
        <w:t>odpowiednio do części I-</w:t>
      </w:r>
      <w:r w:rsidR="00B34436">
        <w:rPr>
          <w:rFonts w:ascii="Arial" w:hAnsi="Arial" w:cs="Arial"/>
          <w:sz w:val="22"/>
          <w:szCs w:val="22"/>
        </w:rPr>
        <w:t>VI</w:t>
      </w:r>
      <w:r w:rsidR="00B34436" w:rsidRPr="003D04BA">
        <w:rPr>
          <w:rFonts w:ascii="Arial" w:hAnsi="Arial" w:cs="Arial"/>
          <w:sz w:val="22"/>
          <w:szCs w:val="22"/>
        </w:rPr>
        <w:t xml:space="preserve">.   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Bażyńskiego 8, pok. 115</w:t>
            </w:r>
          </w:p>
          <w:p w:rsidR="00B73292" w:rsidRPr="003D04BA" w:rsidRDefault="007E79D7" w:rsidP="00F1603E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03E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F1603E">
              <w:rPr>
                <w:rFonts w:ascii="Arial" w:hAnsi="Arial" w:cs="Arial"/>
                <w:sz w:val="22"/>
                <w:szCs w:val="22"/>
              </w:rPr>
              <w:t>23</w:t>
            </w:r>
            <w:r w:rsidR="00F1603E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F1603E">
              <w:rPr>
                <w:rFonts w:ascii="Arial" w:hAnsi="Arial" w:cs="Arial"/>
                <w:sz w:val="22"/>
                <w:szCs w:val="22"/>
              </w:rPr>
              <w:t>6</w:t>
            </w:r>
            <w:r w:rsidR="00F1603E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  <w:r w:rsidR="00F1603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B73292" w:rsidRPr="003D04BA">
              <w:rPr>
                <w:rFonts w:ascii="Arial" w:hAnsi="Arial" w:cs="Arial"/>
                <w:sz w:val="22"/>
                <w:szCs w:val="22"/>
              </w:rPr>
              <w:t>80-</w:t>
            </w:r>
            <w:r w:rsidR="00B73292">
              <w:rPr>
                <w:rFonts w:ascii="Arial" w:hAnsi="Arial" w:cs="Arial"/>
                <w:sz w:val="22"/>
                <w:szCs w:val="22"/>
              </w:rPr>
              <w:t>309 Gdańsk Oliwa</w:t>
            </w:r>
            <w:r w:rsidR="00B73292"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E79D7" w:rsidRDefault="00A7620D" w:rsidP="00C87BA4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C87BA4">
              <w:rPr>
                <w:rFonts w:ascii="Arial" w:hAnsi="Arial" w:cs="Arial"/>
                <w:sz w:val="22"/>
                <w:szCs w:val="22"/>
              </w:rPr>
              <w:t>aparatury naukowej dla Uniwer</w:t>
            </w:r>
            <w:r w:rsidR="007E79D7">
              <w:rPr>
                <w:rFonts w:ascii="Arial" w:hAnsi="Arial" w:cs="Arial"/>
                <w:sz w:val="22"/>
                <w:szCs w:val="22"/>
              </w:rPr>
              <w:t>sytetu Gdańskiego wg części …</w:t>
            </w:r>
          </w:p>
          <w:p w:rsidR="00262A65" w:rsidRPr="003D04BA" w:rsidRDefault="007E79D7" w:rsidP="00F15B10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7E79D7">
              <w:rPr>
                <w:rFonts w:ascii="Arial" w:hAnsi="Arial" w:cs="Arial"/>
                <w:i/>
                <w:sz w:val="22"/>
                <w:szCs w:val="22"/>
              </w:rPr>
              <w:t>(Wykonawca wpisze do której części składa ofertę)</w:t>
            </w:r>
            <w:r w:rsidR="00F160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F81DCE">
              <w:rPr>
                <w:rFonts w:ascii="Arial" w:hAnsi="Arial" w:cs="Arial"/>
                <w:sz w:val="22"/>
                <w:szCs w:val="22"/>
              </w:rPr>
              <w:t>25</w:t>
            </w:r>
            <w:r w:rsidR="00F15B10">
              <w:rPr>
                <w:rFonts w:ascii="Arial" w:hAnsi="Arial" w:cs="Arial"/>
                <w:sz w:val="22"/>
                <w:szCs w:val="22"/>
              </w:rPr>
              <w:t>.03.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B34436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34436">
        <w:rPr>
          <w:rFonts w:ascii="Arial" w:hAnsi="Arial" w:cs="Arial"/>
          <w:sz w:val="22"/>
          <w:szCs w:val="22"/>
        </w:rPr>
        <w:t>Każdy Wykonawca może złożyć tylko jedną, jednoznaczną ofertę na każdą z części postępowania osobno (dopuszcza się składanie ofert przez Wykonawcę na wybraną(e) lub też wszystkie części postępowania),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>, 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F15B10">
        <w:rPr>
          <w:rFonts w:ascii="Arial" w:hAnsi="Arial" w:cs="Arial"/>
          <w:b/>
          <w:sz w:val="22"/>
          <w:szCs w:val="22"/>
        </w:rPr>
        <w:t>2</w:t>
      </w:r>
      <w:r w:rsidR="00F81DCE">
        <w:rPr>
          <w:rFonts w:ascii="Arial" w:hAnsi="Arial" w:cs="Arial"/>
          <w:b/>
          <w:sz w:val="22"/>
          <w:szCs w:val="22"/>
        </w:rPr>
        <w:t>5</w:t>
      </w:r>
      <w:r w:rsidR="00F15B10">
        <w:rPr>
          <w:rFonts w:ascii="Arial" w:hAnsi="Arial" w:cs="Arial"/>
          <w:b/>
          <w:sz w:val="22"/>
          <w:szCs w:val="22"/>
        </w:rPr>
        <w:t>.03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 xml:space="preserve">, I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F15B10">
        <w:rPr>
          <w:rFonts w:ascii="Arial" w:hAnsi="Arial" w:cs="Arial"/>
          <w:b/>
          <w:sz w:val="22"/>
          <w:szCs w:val="22"/>
        </w:rPr>
        <w:t>2</w:t>
      </w:r>
      <w:r w:rsidR="00F81DCE">
        <w:rPr>
          <w:rFonts w:ascii="Arial" w:hAnsi="Arial" w:cs="Arial"/>
          <w:b/>
          <w:sz w:val="22"/>
          <w:szCs w:val="22"/>
        </w:rPr>
        <w:t>5</w:t>
      </w:r>
      <w:r w:rsidR="00F15B10">
        <w:rPr>
          <w:rFonts w:ascii="Arial" w:hAnsi="Arial" w:cs="Arial"/>
          <w:b/>
          <w:sz w:val="22"/>
          <w:szCs w:val="22"/>
        </w:rPr>
        <w:t>.03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374E29">
        <w:rPr>
          <w:rFonts w:ascii="Arial" w:hAnsi="Arial" w:cs="Arial"/>
          <w:b/>
          <w:sz w:val="22"/>
          <w:szCs w:val="22"/>
        </w:rPr>
        <w:t xml:space="preserve"> </w:t>
      </w:r>
      <w:r w:rsidR="00374E29">
        <w:rPr>
          <w:rFonts w:ascii="Arial" w:hAnsi="Arial" w:cs="Arial"/>
          <w:sz w:val="22"/>
          <w:szCs w:val="22"/>
        </w:rPr>
        <w:t>– odpowiednio do części I-VI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472177">
        <w:rPr>
          <w:rFonts w:ascii="Arial" w:hAnsi="Arial" w:cs="Arial"/>
          <w:sz w:val="22"/>
          <w:szCs w:val="22"/>
        </w:rPr>
        <w:t>okres gwarancji traktowane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472177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jako </w:t>
      </w:r>
      <w:r w:rsidR="00472177">
        <w:rPr>
          <w:rFonts w:ascii="Arial" w:hAnsi="Arial" w:cs="Arial"/>
          <w:sz w:val="22"/>
          <w:szCs w:val="22"/>
        </w:rPr>
        <w:t xml:space="preserve">parametry </w:t>
      </w:r>
      <w:r w:rsidR="00472177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</w:t>
      </w:r>
      <w:r w:rsidRPr="00F602B9">
        <w:rPr>
          <w:rFonts w:ascii="Arial" w:hAnsi="Arial" w:cs="Arial"/>
          <w:sz w:val="22"/>
          <w:szCs w:val="22"/>
        </w:rPr>
        <w:lastRenderedPageBreak/>
        <w:t xml:space="preserve">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</w:t>
      </w:r>
      <w:r w:rsidR="00883726">
        <w:rPr>
          <w:rFonts w:ascii="Arial" w:hAnsi="Arial" w:cs="Arial"/>
          <w:b/>
          <w:sz w:val="22"/>
          <w:szCs w:val="22"/>
        </w:rPr>
        <w:t xml:space="preserve"> – odpowiednio do części I-VI</w:t>
      </w:r>
      <w:r w:rsidR="00A76B07" w:rsidRPr="0060099A">
        <w:rPr>
          <w:rFonts w:ascii="Arial" w:hAnsi="Arial" w:cs="Arial"/>
          <w:b/>
          <w:sz w:val="22"/>
          <w:szCs w:val="22"/>
        </w:rPr>
        <w:t>.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>Okres gwarancji -  10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 w:rsidR="00883726">
        <w:rPr>
          <w:rFonts w:ascii="Arial" w:hAnsi="Arial" w:cs="Arial"/>
          <w:b/>
          <w:sz w:val="22"/>
          <w:szCs w:val="22"/>
        </w:rPr>
        <w:t xml:space="preserve"> – odpowiednio do części I-VI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885BB7" w:rsidRPr="0060099A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5BB7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oceniany</w:t>
      </w:r>
      <w:r w:rsidRPr="0060099A">
        <w:rPr>
          <w:rFonts w:ascii="Arial" w:hAnsi="Arial" w:cs="Arial"/>
          <w:sz w:val="22"/>
          <w:szCs w:val="22"/>
        </w:rPr>
        <w:t xml:space="preserve"> będzie według wzoru:  </w:t>
      </w:r>
    </w:p>
    <w:p w:rsidR="00885BB7" w:rsidRPr="00FB55AF" w:rsidRDefault="00885BB7" w:rsidP="00885BB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Pr="00FB55AF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x 10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Pr="00FB55AF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 xml:space="preserve">gdzie:  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iCs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ilość punktów w kryterium „</w:t>
      </w:r>
      <w:r>
        <w:rPr>
          <w:rFonts w:ascii="Arial" w:hAnsi="Arial" w:cs="Arial"/>
          <w:sz w:val="22"/>
          <w:szCs w:val="22"/>
        </w:rPr>
        <w:t>o</w:t>
      </w:r>
      <w:r w:rsidRPr="00FB55AF">
        <w:rPr>
          <w:rFonts w:ascii="Arial" w:hAnsi="Arial" w:cs="Arial"/>
          <w:sz w:val="22"/>
          <w:szCs w:val="22"/>
        </w:rPr>
        <w:t>kres gwarancji”, liczony w miesiącach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Pr="00FB55AF">
        <w:rPr>
          <w:rFonts w:ascii="Arial" w:hAnsi="Arial" w:cs="Arial"/>
          <w:iCs/>
          <w:sz w:val="22"/>
          <w:szCs w:val="22"/>
          <w:vertAlign w:val="subscript"/>
        </w:rPr>
        <w:t>b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 xml:space="preserve">– badany okres gwarancji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Pr="00FB55AF">
        <w:rPr>
          <w:rFonts w:ascii="Arial" w:hAnsi="Arial" w:cs="Arial"/>
          <w:iCs/>
          <w:sz w:val="22"/>
          <w:szCs w:val="22"/>
          <w:vertAlign w:val="subscript"/>
        </w:rPr>
        <w:t>m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najdłuższy oferowany okres gwarancji.</w:t>
      </w:r>
    </w:p>
    <w:p w:rsidR="007840D2" w:rsidRPr="0060099A" w:rsidRDefault="007840D2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lastRenderedPageBreak/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lastRenderedPageBreak/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8B5D9F">
      <w:pPr>
        <w:pStyle w:val="Akapitzlist"/>
        <w:numPr>
          <w:ilvl w:val="0"/>
          <w:numId w:val="40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5666D1">
      <w:pPr>
        <w:pStyle w:val="Akapitzlist"/>
        <w:numPr>
          <w:ilvl w:val="0"/>
          <w:numId w:val="40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74E29">
        <w:rPr>
          <w:rFonts w:ascii="Arial" w:hAnsi="Arial" w:cs="Arial"/>
          <w:b/>
          <w:sz w:val="22"/>
          <w:szCs w:val="22"/>
        </w:rPr>
        <w:t xml:space="preserve"> </w:t>
      </w:r>
      <w:r w:rsidR="00374E29">
        <w:rPr>
          <w:rFonts w:ascii="Arial" w:hAnsi="Arial" w:cs="Arial"/>
          <w:sz w:val="22"/>
          <w:szCs w:val="22"/>
        </w:rPr>
        <w:t>– odpowiednio do części I-VI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>ul. 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700DA9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3D04BA">
        <w:rPr>
          <w:rFonts w:ascii="Arial" w:hAnsi="Arial" w:cs="Arial"/>
          <w:sz w:val="22"/>
          <w:szCs w:val="22"/>
        </w:rPr>
        <w:t xml:space="preserve">wców ubiegających się wspólnie </w:t>
      </w:r>
      <w:r w:rsidRPr="003D04BA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lastRenderedPageBreak/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t>Wprowadzenie podwykonawcy na zasadach określonych w § 1</w:t>
      </w:r>
      <w:r>
        <w:rPr>
          <w:rFonts w:ascii="Arial" w:hAnsi="Arial" w:cs="Arial"/>
          <w:sz w:val="22"/>
          <w:szCs w:val="22"/>
        </w:rPr>
        <w:t>1</w:t>
      </w:r>
      <w:r w:rsidRPr="00B8730F">
        <w:rPr>
          <w:rFonts w:ascii="Arial" w:hAnsi="Arial" w:cs="Arial"/>
          <w:sz w:val="22"/>
          <w:szCs w:val="22"/>
        </w:rPr>
        <w:t xml:space="preserve"> projektu umowy, </w:t>
      </w:r>
      <w:r>
        <w:rPr>
          <w:rFonts w:ascii="Arial" w:hAnsi="Arial" w:cs="Arial"/>
          <w:sz w:val="22"/>
          <w:szCs w:val="22"/>
        </w:rPr>
        <w:br/>
      </w:r>
      <w:r w:rsidRPr="00B8730F">
        <w:rPr>
          <w:rFonts w:ascii="Arial" w:hAnsi="Arial" w:cs="Arial"/>
          <w:sz w:val="22"/>
          <w:szCs w:val="22"/>
        </w:rPr>
        <w:t>w sytuacji gdy Wykonawca zadeklarował w ofercie wykonanie zamówienia własnymi siłami,</w:t>
      </w:r>
      <w:r w:rsidR="00567B31">
        <w:rPr>
          <w:rFonts w:ascii="Arial" w:hAnsi="Arial" w:cs="Arial"/>
          <w:sz w:val="22"/>
          <w:szCs w:val="22"/>
        </w:rPr>
        <w:t xml:space="preserve"> będzie możliwe</w:t>
      </w:r>
      <w:r w:rsidRPr="00B8730F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i zakres podwykonawstwa, co wymaga wcześniejszej akceptacji Zamawiającego.</w:t>
      </w:r>
    </w:p>
    <w:p w:rsidR="00B8730F" w:rsidRP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t xml:space="preserve">Wprowadzenie podwykonawcy nie może naruszać zapisów SIWZ i umowy na podstawie których dokonano wyboru oferty Wykonawcy.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8B5B83">
        <w:rPr>
          <w:rFonts w:ascii="Arial" w:hAnsi="Arial" w:cs="Arial"/>
          <w:sz w:val="22"/>
          <w:szCs w:val="22"/>
        </w:rPr>
        <w:t>ć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9846A9">
        <w:rPr>
          <w:rFonts w:ascii="Arial" w:hAnsi="Arial" w:cs="Arial"/>
          <w:sz w:val="22"/>
          <w:szCs w:val="22"/>
        </w:rPr>
        <w:t xml:space="preserve"> według części I-VI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5377E7" w:rsidRPr="005377E7" w:rsidRDefault="00E24F0B" w:rsidP="005377E7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  <w:r w:rsidR="005377E7" w:rsidRPr="005377E7">
        <w:rPr>
          <w:rFonts w:ascii="Arial" w:hAnsi="Arial" w:cs="Arial"/>
          <w:sz w:val="22"/>
          <w:szCs w:val="22"/>
        </w:rPr>
        <w:t xml:space="preserve">Jeśli gdziekolwiek w opisie przedmiotu zamówienia - załącznik nr 2 do SIWZ, zostało wskazane pochodzenie (marka, znak towarowy, producent) lub normy, o których mowa w art. 30 ust. 1 ustawy Prawo zamówień publicznych, Zamawiający dopuszcza możliwość złożenia oferty równoważnej. Pod pojęciem równoważności rozumieć należy, iż zagwarantują one realizację przedmiotu zamówienia </w:t>
      </w:r>
      <w:r w:rsidR="005377E7">
        <w:rPr>
          <w:rFonts w:ascii="Arial" w:hAnsi="Arial" w:cs="Arial"/>
          <w:sz w:val="22"/>
          <w:szCs w:val="22"/>
        </w:rPr>
        <w:br/>
      </w:r>
      <w:r w:rsidR="005377E7" w:rsidRPr="005377E7">
        <w:rPr>
          <w:rFonts w:ascii="Arial" w:hAnsi="Arial" w:cs="Arial"/>
          <w:sz w:val="22"/>
          <w:szCs w:val="22"/>
        </w:rPr>
        <w:t xml:space="preserve">oraz zapewnią uzyskanie parametrów technicznych nie gorszych niż proponowane </w:t>
      </w:r>
      <w:r w:rsidR="005377E7">
        <w:rPr>
          <w:rFonts w:ascii="Arial" w:hAnsi="Arial" w:cs="Arial"/>
          <w:sz w:val="22"/>
          <w:szCs w:val="22"/>
        </w:rPr>
        <w:br/>
      </w:r>
      <w:r w:rsidR="005377E7" w:rsidRPr="005377E7">
        <w:rPr>
          <w:rFonts w:ascii="Arial" w:hAnsi="Arial" w:cs="Arial"/>
          <w:sz w:val="22"/>
          <w:szCs w:val="22"/>
        </w:rPr>
        <w:lastRenderedPageBreak/>
        <w:t xml:space="preserve">przez Zamawiającego. Za równoważne ww. normom Zamawiający uzna normy utworzone </w:t>
      </w:r>
      <w:r w:rsidR="005377E7">
        <w:rPr>
          <w:rFonts w:ascii="Arial" w:hAnsi="Arial" w:cs="Arial"/>
          <w:sz w:val="22"/>
          <w:szCs w:val="22"/>
        </w:rPr>
        <w:br/>
      </w:r>
      <w:r w:rsidR="005377E7" w:rsidRPr="005377E7">
        <w:rPr>
          <w:rFonts w:ascii="Arial" w:hAnsi="Arial" w:cs="Arial"/>
          <w:sz w:val="22"/>
          <w:szCs w:val="22"/>
        </w:rPr>
        <w:t xml:space="preserve">przez niezależny ośrodek normalizacyjny o zasięgu europejskim obdarzony zaufaniem publicznym, </w:t>
      </w:r>
    </w:p>
    <w:p w:rsidR="00E24F0B" w:rsidRPr="003D04BA" w:rsidRDefault="005377E7" w:rsidP="005377E7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377E7">
        <w:rPr>
          <w:rFonts w:ascii="Arial" w:hAnsi="Arial" w:cs="Arial"/>
          <w:sz w:val="22"/>
          <w:szCs w:val="22"/>
        </w:rPr>
        <w:t>które u podstaw oparte są na przejrzystości, dobrowolności, bezstronności, efektywności, wiarygodności, spójności i uzgadnianiu na poziomie krajowym i europejskim. Zastosowanie musi odpowiadać swoim rodzajem i zakresem celom założonym w przywoływanych powyżej normach.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Pr="00CF37B5">
        <w:rPr>
          <w:rFonts w:ascii="Arial" w:hAnsi="Arial" w:cs="Arial"/>
          <w:sz w:val="22"/>
          <w:szCs w:val="22"/>
        </w:rPr>
        <w:t>Gdańsku (80-309) przy ul. Bażyńskiego 8, zwany dalej Zamawiającym,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lastRenderedPageBreak/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A2120D" w:rsidRPr="003D04BA" w:rsidRDefault="00A2120D" w:rsidP="00A2120D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1 – formularz ofertowy</w:t>
      </w:r>
      <w:r w:rsidR="00374E29">
        <w:rPr>
          <w:rFonts w:ascii="Arial" w:hAnsi="Arial" w:cs="Arial"/>
          <w:sz w:val="22"/>
          <w:szCs w:val="22"/>
        </w:rPr>
        <w:t xml:space="preserve"> – odpowiednio do części I-VI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</w:t>
      </w:r>
      <w:r w:rsidR="00374E29">
        <w:rPr>
          <w:rFonts w:ascii="Arial" w:hAnsi="Arial" w:cs="Arial"/>
          <w:sz w:val="22"/>
          <w:szCs w:val="22"/>
        </w:rPr>
        <w:t xml:space="preserve"> – odpowiednio do części I-VI</w:t>
      </w:r>
      <w:r w:rsidRPr="003D04BA">
        <w:rPr>
          <w:rFonts w:ascii="Arial" w:hAnsi="Arial" w:cs="Arial"/>
          <w:sz w:val="22"/>
          <w:szCs w:val="22"/>
        </w:rPr>
        <w:t>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C545FF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7E7" w:rsidRDefault="005377E7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7E7" w:rsidRDefault="005377E7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377E7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3E" w:rsidRDefault="00F1603E" w:rsidP="002B10BA">
      <w:r>
        <w:separator/>
      </w:r>
    </w:p>
  </w:endnote>
  <w:endnote w:type="continuationSeparator" w:id="1">
    <w:p w:rsidR="00F1603E" w:rsidRDefault="00F1603E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E" w:rsidRDefault="00F1603E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F1603E" w:rsidRDefault="00F1603E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8, 80-309 Gdańsk</w:t>
    </w:r>
  </w:p>
  <w:p w:rsidR="00F1603E" w:rsidRDefault="00F1603E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9C1AC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9C1AC1" w:rsidRPr="00A808A7">
      <w:rPr>
        <w:rFonts w:cs="Arial"/>
        <w:sz w:val="18"/>
        <w:szCs w:val="18"/>
      </w:rPr>
      <w:fldChar w:fldCharType="separate"/>
    </w:r>
    <w:r w:rsidR="00F81DCE">
      <w:rPr>
        <w:rFonts w:cs="Arial"/>
        <w:noProof/>
        <w:sz w:val="18"/>
        <w:szCs w:val="18"/>
      </w:rPr>
      <w:t>13</w:t>
    </w:r>
    <w:r w:rsidR="009C1AC1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3E" w:rsidRDefault="00F1603E" w:rsidP="002B10BA">
      <w:r>
        <w:separator/>
      </w:r>
    </w:p>
  </w:footnote>
  <w:footnote w:type="continuationSeparator" w:id="1">
    <w:p w:rsidR="00F1603E" w:rsidRDefault="00F1603E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E" w:rsidRDefault="00F1603E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23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F1603E" w:rsidRPr="002C0237" w:rsidRDefault="00F1603E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8F58FD"/>
    <w:multiLevelType w:val="hybridMultilevel"/>
    <w:tmpl w:val="67FEEE1E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84A70"/>
    <w:multiLevelType w:val="hybridMultilevel"/>
    <w:tmpl w:val="67FEEE1E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207DE"/>
    <w:multiLevelType w:val="hybridMultilevel"/>
    <w:tmpl w:val="35F2F934"/>
    <w:lvl w:ilvl="0" w:tplc="D17288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0"/>
  </w:num>
  <w:num w:numId="3">
    <w:abstractNumId w:val="34"/>
  </w:num>
  <w:num w:numId="4">
    <w:abstractNumId w:val="9"/>
  </w:num>
  <w:num w:numId="5">
    <w:abstractNumId w:val="15"/>
  </w:num>
  <w:num w:numId="6">
    <w:abstractNumId w:val="47"/>
  </w:num>
  <w:num w:numId="7">
    <w:abstractNumId w:val="48"/>
  </w:num>
  <w:num w:numId="8">
    <w:abstractNumId w:val="19"/>
  </w:num>
  <w:num w:numId="9">
    <w:abstractNumId w:val="40"/>
  </w:num>
  <w:num w:numId="10">
    <w:abstractNumId w:val="1"/>
  </w:num>
  <w:num w:numId="11">
    <w:abstractNumId w:val="38"/>
  </w:num>
  <w:num w:numId="12">
    <w:abstractNumId w:val="44"/>
  </w:num>
  <w:num w:numId="13">
    <w:abstractNumId w:val="18"/>
  </w:num>
  <w:num w:numId="14">
    <w:abstractNumId w:val="39"/>
  </w:num>
  <w:num w:numId="15">
    <w:abstractNumId w:val="28"/>
  </w:num>
  <w:num w:numId="16">
    <w:abstractNumId w:val="24"/>
  </w:num>
  <w:num w:numId="17">
    <w:abstractNumId w:val="10"/>
  </w:num>
  <w:num w:numId="18">
    <w:abstractNumId w:val="27"/>
  </w:num>
  <w:num w:numId="19">
    <w:abstractNumId w:val="11"/>
  </w:num>
  <w:num w:numId="20">
    <w:abstractNumId w:val="21"/>
  </w:num>
  <w:num w:numId="21">
    <w:abstractNumId w:val="16"/>
  </w:num>
  <w:num w:numId="22">
    <w:abstractNumId w:val="36"/>
  </w:num>
  <w:num w:numId="23">
    <w:abstractNumId w:val="25"/>
  </w:num>
  <w:num w:numId="24">
    <w:abstractNumId w:val="20"/>
  </w:num>
  <w:num w:numId="25">
    <w:abstractNumId w:val="30"/>
  </w:num>
  <w:num w:numId="26">
    <w:abstractNumId w:val="7"/>
  </w:num>
  <w:num w:numId="27">
    <w:abstractNumId w:val="41"/>
  </w:num>
  <w:num w:numId="28">
    <w:abstractNumId w:val="2"/>
  </w:num>
  <w:num w:numId="29">
    <w:abstractNumId w:val="35"/>
  </w:num>
  <w:num w:numId="30">
    <w:abstractNumId w:val="4"/>
  </w:num>
  <w:num w:numId="31">
    <w:abstractNumId w:val="5"/>
  </w:num>
  <w:num w:numId="32">
    <w:abstractNumId w:val="31"/>
  </w:num>
  <w:num w:numId="33">
    <w:abstractNumId w:val="17"/>
  </w:num>
  <w:num w:numId="34">
    <w:abstractNumId w:val="33"/>
  </w:num>
  <w:num w:numId="35">
    <w:abstractNumId w:val="6"/>
  </w:num>
  <w:num w:numId="36">
    <w:abstractNumId w:val="13"/>
  </w:num>
  <w:num w:numId="37">
    <w:abstractNumId w:val="3"/>
  </w:num>
  <w:num w:numId="38">
    <w:abstractNumId w:val="49"/>
  </w:num>
  <w:num w:numId="39">
    <w:abstractNumId w:val="29"/>
  </w:num>
  <w:num w:numId="40">
    <w:abstractNumId w:val="32"/>
  </w:num>
  <w:num w:numId="41">
    <w:abstractNumId w:val="12"/>
  </w:num>
  <w:num w:numId="42">
    <w:abstractNumId w:val="46"/>
  </w:num>
  <w:num w:numId="43">
    <w:abstractNumId w:val="45"/>
  </w:num>
  <w:num w:numId="44">
    <w:abstractNumId w:val="22"/>
  </w:num>
  <w:num w:numId="45">
    <w:abstractNumId w:val="43"/>
  </w:num>
  <w:num w:numId="46">
    <w:abstractNumId w:val="23"/>
  </w:num>
  <w:num w:numId="47">
    <w:abstractNumId w:val="14"/>
  </w:num>
  <w:num w:numId="48">
    <w:abstractNumId w:val="42"/>
  </w:num>
  <w:num w:numId="49">
    <w:abstractNumId w:val="8"/>
  </w:num>
  <w:num w:numId="50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68BC"/>
    <w:rsid w:val="00037E18"/>
    <w:rsid w:val="00041C12"/>
    <w:rsid w:val="00042CDC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738A"/>
    <w:rsid w:val="000819F1"/>
    <w:rsid w:val="000837D2"/>
    <w:rsid w:val="00083958"/>
    <w:rsid w:val="00087962"/>
    <w:rsid w:val="000900F3"/>
    <w:rsid w:val="00096690"/>
    <w:rsid w:val="00096B44"/>
    <w:rsid w:val="000A1116"/>
    <w:rsid w:val="000A53C0"/>
    <w:rsid w:val="000A6765"/>
    <w:rsid w:val="000B44C0"/>
    <w:rsid w:val="000B48A5"/>
    <w:rsid w:val="000B68FD"/>
    <w:rsid w:val="000C6178"/>
    <w:rsid w:val="000C7F68"/>
    <w:rsid w:val="000D5D7F"/>
    <w:rsid w:val="000E26D9"/>
    <w:rsid w:val="000E7CA6"/>
    <w:rsid w:val="000F5F7C"/>
    <w:rsid w:val="000F7F84"/>
    <w:rsid w:val="00104052"/>
    <w:rsid w:val="00105757"/>
    <w:rsid w:val="0012282A"/>
    <w:rsid w:val="00123C6F"/>
    <w:rsid w:val="00123FD9"/>
    <w:rsid w:val="00126692"/>
    <w:rsid w:val="0013224E"/>
    <w:rsid w:val="0013427A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3064"/>
    <w:rsid w:val="001E61D6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50981"/>
    <w:rsid w:val="003538D4"/>
    <w:rsid w:val="003603D9"/>
    <w:rsid w:val="003639A1"/>
    <w:rsid w:val="00367DD0"/>
    <w:rsid w:val="00374E29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860"/>
    <w:rsid w:val="003C0AB5"/>
    <w:rsid w:val="003C12EC"/>
    <w:rsid w:val="003C311A"/>
    <w:rsid w:val="003C3151"/>
    <w:rsid w:val="003C68BF"/>
    <w:rsid w:val="003D04BA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2177"/>
    <w:rsid w:val="004744B8"/>
    <w:rsid w:val="0047529D"/>
    <w:rsid w:val="00475A6B"/>
    <w:rsid w:val="00475AE8"/>
    <w:rsid w:val="00481D2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E20D9"/>
    <w:rsid w:val="004E3504"/>
    <w:rsid w:val="004E74AC"/>
    <w:rsid w:val="004F3054"/>
    <w:rsid w:val="004F379E"/>
    <w:rsid w:val="004F47E3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7E7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C67"/>
    <w:rsid w:val="005C4FC3"/>
    <w:rsid w:val="005D0A46"/>
    <w:rsid w:val="005D18F7"/>
    <w:rsid w:val="005D3780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642C"/>
    <w:rsid w:val="006B28FC"/>
    <w:rsid w:val="006B3DAF"/>
    <w:rsid w:val="006B6292"/>
    <w:rsid w:val="006B7820"/>
    <w:rsid w:val="006B7CE9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11A9A"/>
    <w:rsid w:val="00713770"/>
    <w:rsid w:val="00713DE8"/>
    <w:rsid w:val="00714A12"/>
    <w:rsid w:val="00720999"/>
    <w:rsid w:val="0073032C"/>
    <w:rsid w:val="007364C7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A2348"/>
    <w:rsid w:val="007A3450"/>
    <w:rsid w:val="007A34B8"/>
    <w:rsid w:val="007B0EED"/>
    <w:rsid w:val="007C0678"/>
    <w:rsid w:val="007C0B79"/>
    <w:rsid w:val="007D0F76"/>
    <w:rsid w:val="007E2002"/>
    <w:rsid w:val="007E607A"/>
    <w:rsid w:val="007E6BFD"/>
    <w:rsid w:val="007E6DDE"/>
    <w:rsid w:val="007E79D7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4040"/>
    <w:rsid w:val="0082655E"/>
    <w:rsid w:val="008275FF"/>
    <w:rsid w:val="00827FC8"/>
    <w:rsid w:val="00827FC9"/>
    <w:rsid w:val="00831239"/>
    <w:rsid w:val="008319CC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7EF"/>
    <w:rsid w:val="008709E0"/>
    <w:rsid w:val="00871728"/>
    <w:rsid w:val="00872E9E"/>
    <w:rsid w:val="00873F24"/>
    <w:rsid w:val="00882272"/>
    <w:rsid w:val="00883726"/>
    <w:rsid w:val="008847C7"/>
    <w:rsid w:val="00885B1B"/>
    <w:rsid w:val="00885BB7"/>
    <w:rsid w:val="008A18EE"/>
    <w:rsid w:val="008A3F27"/>
    <w:rsid w:val="008B1F73"/>
    <w:rsid w:val="008B5B83"/>
    <w:rsid w:val="008B5D9F"/>
    <w:rsid w:val="008B5FB2"/>
    <w:rsid w:val="008C075A"/>
    <w:rsid w:val="008C0E7C"/>
    <w:rsid w:val="008C7906"/>
    <w:rsid w:val="008D6934"/>
    <w:rsid w:val="008E1187"/>
    <w:rsid w:val="008E1E80"/>
    <w:rsid w:val="008F2D6C"/>
    <w:rsid w:val="008F2FFE"/>
    <w:rsid w:val="008F4EAF"/>
    <w:rsid w:val="008F606A"/>
    <w:rsid w:val="008F7B75"/>
    <w:rsid w:val="00904F20"/>
    <w:rsid w:val="00906E5F"/>
    <w:rsid w:val="00907354"/>
    <w:rsid w:val="00907F3B"/>
    <w:rsid w:val="00910C4C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846A9"/>
    <w:rsid w:val="009904C6"/>
    <w:rsid w:val="00994467"/>
    <w:rsid w:val="0099621E"/>
    <w:rsid w:val="009A1A83"/>
    <w:rsid w:val="009A5F02"/>
    <w:rsid w:val="009A6482"/>
    <w:rsid w:val="009B2881"/>
    <w:rsid w:val="009C1AC1"/>
    <w:rsid w:val="009C56B4"/>
    <w:rsid w:val="009E0C25"/>
    <w:rsid w:val="009E511F"/>
    <w:rsid w:val="009E523E"/>
    <w:rsid w:val="009F364E"/>
    <w:rsid w:val="009F47C6"/>
    <w:rsid w:val="009F6D34"/>
    <w:rsid w:val="00A060CC"/>
    <w:rsid w:val="00A110C7"/>
    <w:rsid w:val="00A11C05"/>
    <w:rsid w:val="00A12720"/>
    <w:rsid w:val="00A20060"/>
    <w:rsid w:val="00A2120D"/>
    <w:rsid w:val="00A2175F"/>
    <w:rsid w:val="00A2720A"/>
    <w:rsid w:val="00A305B3"/>
    <w:rsid w:val="00A31C1F"/>
    <w:rsid w:val="00A33A0F"/>
    <w:rsid w:val="00A33F9E"/>
    <w:rsid w:val="00A34334"/>
    <w:rsid w:val="00A3791E"/>
    <w:rsid w:val="00A405A9"/>
    <w:rsid w:val="00A43199"/>
    <w:rsid w:val="00A45DF1"/>
    <w:rsid w:val="00A47048"/>
    <w:rsid w:val="00A51A48"/>
    <w:rsid w:val="00A61E4E"/>
    <w:rsid w:val="00A70109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F61A1"/>
    <w:rsid w:val="00B1015C"/>
    <w:rsid w:val="00B12216"/>
    <w:rsid w:val="00B13F58"/>
    <w:rsid w:val="00B14866"/>
    <w:rsid w:val="00B22A14"/>
    <w:rsid w:val="00B24497"/>
    <w:rsid w:val="00B26EDF"/>
    <w:rsid w:val="00B30549"/>
    <w:rsid w:val="00B32EBD"/>
    <w:rsid w:val="00B34436"/>
    <w:rsid w:val="00B34975"/>
    <w:rsid w:val="00B4184E"/>
    <w:rsid w:val="00B43497"/>
    <w:rsid w:val="00B4359B"/>
    <w:rsid w:val="00B43C84"/>
    <w:rsid w:val="00B444D1"/>
    <w:rsid w:val="00B460FA"/>
    <w:rsid w:val="00B46B11"/>
    <w:rsid w:val="00B55DD9"/>
    <w:rsid w:val="00B61905"/>
    <w:rsid w:val="00B63E64"/>
    <w:rsid w:val="00B64CCD"/>
    <w:rsid w:val="00B73292"/>
    <w:rsid w:val="00B75E29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7E8C"/>
    <w:rsid w:val="00C85C43"/>
    <w:rsid w:val="00C87BA4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6E8A"/>
    <w:rsid w:val="00CE3FD0"/>
    <w:rsid w:val="00CE4154"/>
    <w:rsid w:val="00CE45EE"/>
    <w:rsid w:val="00CF37B5"/>
    <w:rsid w:val="00CF46DC"/>
    <w:rsid w:val="00CF4B8C"/>
    <w:rsid w:val="00CF6EC9"/>
    <w:rsid w:val="00CF6F50"/>
    <w:rsid w:val="00CF7512"/>
    <w:rsid w:val="00D00D2B"/>
    <w:rsid w:val="00D0114E"/>
    <w:rsid w:val="00D02D1C"/>
    <w:rsid w:val="00D10D68"/>
    <w:rsid w:val="00D25707"/>
    <w:rsid w:val="00D35225"/>
    <w:rsid w:val="00D4304E"/>
    <w:rsid w:val="00D47FE7"/>
    <w:rsid w:val="00D51417"/>
    <w:rsid w:val="00D62A08"/>
    <w:rsid w:val="00D64491"/>
    <w:rsid w:val="00D66FF6"/>
    <w:rsid w:val="00D67F53"/>
    <w:rsid w:val="00D702E4"/>
    <w:rsid w:val="00D705AF"/>
    <w:rsid w:val="00D72A4D"/>
    <w:rsid w:val="00D75840"/>
    <w:rsid w:val="00D81A9D"/>
    <w:rsid w:val="00D8500E"/>
    <w:rsid w:val="00D923A1"/>
    <w:rsid w:val="00D96D5C"/>
    <w:rsid w:val="00DA24FE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1FD"/>
    <w:rsid w:val="00DE4325"/>
    <w:rsid w:val="00DE4608"/>
    <w:rsid w:val="00DE612B"/>
    <w:rsid w:val="00E030F9"/>
    <w:rsid w:val="00E03497"/>
    <w:rsid w:val="00E12148"/>
    <w:rsid w:val="00E14BD6"/>
    <w:rsid w:val="00E1595C"/>
    <w:rsid w:val="00E23A90"/>
    <w:rsid w:val="00E24F0B"/>
    <w:rsid w:val="00E26B06"/>
    <w:rsid w:val="00E307AC"/>
    <w:rsid w:val="00E36B4A"/>
    <w:rsid w:val="00E43AA7"/>
    <w:rsid w:val="00E444C3"/>
    <w:rsid w:val="00E45C14"/>
    <w:rsid w:val="00E51A39"/>
    <w:rsid w:val="00E52201"/>
    <w:rsid w:val="00E56E92"/>
    <w:rsid w:val="00E60E15"/>
    <w:rsid w:val="00E64800"/>
    <w:rsid w:val="00E64864"/>
    <w:rsid w:val="00E6553F"/>
    <w:rsid w:val="00E65FAC"/>
    <w:rsid w:val="00E6714D"/>
    <w:rsid w:val="00E71A41"/>
    <w:rsid w:val="00E751FB"/>
    <w:rsid w:val="00E77B1F"/>
    <w:rsid w:val="00E77BC9"/>
    <w:rsid w:val="00E81B55"/>
    <w:rsid w:val="00E87462"/>
    <w:rsid w:val="00E95610"/>
    <w:rsid w:val="00EB00FD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B10"/>
    <w:rsid w:val="00F1603E"/>
    <w:rsid w:val="00F24029"/>
    <w:rsid w:val="00F25867"/>
    <w:rsid w:val="00F26ADC"/>
    <w:rsid w:val="00F32EC7"/>
    <w:rsid w:val="00F41A06"/>
    <w:rsid w:val="00F45877"/>
    <w:rsid w:val="00F5140C"/>
    <w:rsid w:val="00F54DCC"/>
    <w:rsid w:val="00F55D7D"/>
    <w:rsid w:val="00F56A9D"/>
    <w:rsid w:val="00F602B9"/>
    <w:rsid w:val="00F65DCF"/>
    <w:rsid w:val="00F672CE"/>
    <w:rsid w:val="00F700C3"/>
    <w:rsid w:val="00F71330"/>
    <w:rsid w:val="00F73045"/>
    <w:rsid w:val="00F73C6D"/>
    <w:rsid w:val="00F74CBA"/>
    <w:rsid w:val="00F77168"/>
    <w:rsid w:val="00F80AE2"/>
    <w:rsid w:val="00F81DCE"/>
    <w:rsid w:val="00F82964"/>
    <w:rsid w:val="00F84D0B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57B0"/>
    <w:rsid w:val="00FE3E27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21</Pages>
  <Words>7122</Words>
  <Characters>42737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493</cp:revision>
  <cp:lastPrinted>2016-03-04T08:14:00Z</cp:lastPrinted>
  <dcterms:created xsi:type="dcterms:W3CDTF">2013-05-21T08:16:00Z</dcterms:created>
  <dcterms:modified xsi:type="dcterms:W3CDTF">2016-03-21T07:34:00Z</dcterms:modified>
</cp:coreProperties>
</file>