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187F6F" w:rsidRPr="00B93923" w:rsidRDefault="00B93923" w:rsidP="00B93923">
      <w:pPr>
        <w:jc w:val="center"/>
        <w:rPr>
          <w:rFonts w:ascii="Arial" w:hAnsi="Arial" w:cs="Arial"/>
          <w:b/>
          <w:sz w:val="22"/>
          <w:szCs w:val="22"/>
        </w:rPr>
      </w:pPr>
      <w:r w:rsidRPr="00B93923">
        <w:rPr>
          <w:rFonts w:ascii="Arial" w:hAnsi="Arial" w:cs="Arial"/>
          <w:b/>
          <w:sz w:val="22"/>
          <w:szCs w:val="22"/>
        </w:rPr>
        <w:t>Modyfikacja z dnia 25.04.2016 dot. pkt. X</w:t>
      </w:r>
    </w:p>
    <w:p w:rsidR="00187F6F" w:rsidRDefault="00187F6F" w:rsidP="003634DF">
      <w:pPr>
        <w:rPr>
          <w:rFonts w:ascii="Arial" w:hAnsi="Arial" w:cs="Arial"/>
          <w:sz w:val="22"/>
          <w:szCs w:val="22"/>
        </w:rPr>
      </w:pPr>
    </w:p>
    <w:p w:rsidR="00187F6F" w:rsidRDefault="00187F6F" w:rsidP="003634DF">
      <w:pPr>
        <w:rPr>
          <w:rFonts w:ascii="Arial" w:hAnsi="Arial" w:cs="Arial"/>
          <w:sz w:val="22"/>
          <w:szCs w:val="22"/>
        </w:rPr>
      </w:pPr>
    </w:p>
    <w:p w:rsidR="00187F6F" w:rsidRPr="00187F6F" w:rsidRDefault="00E24F0B" w:rsidP="00187F6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  <w:r w:rsidR="00187F6F">
        <w:rPr>
          <w:rFonts w:ascii="Arial" w:hAnsi="Arial" w:cs="Arial"/>
          <w:sz w:val="22"/>
          <w:szCs w:val="22"/>
        </w:rPr>
        <w:t xml:space="preserve"> </w:t>
      </w:r>
      <w:r w:rsidRPr="00187F6F">
        <w:rPr>
          <w:rFonts w:ascii="Arial" w:hAnsi="Arial" w:cs="Arial"/>
          <w:sz w:val="22"/>
          <w:szCs w:val="22"/>
        </w:rPr>
        <w:t>NA</w:t>
      </w:r>
      <w:r w:rsidR="00240BF2" w:rsidRPr="00187F6F">
        <w:rPr>
          <w:rFonts w:ascii="Arial" w:hAnsi="Arial" w:cs="Arial"/>
          <w:sz w:val="22"/>
          <w:szCs w:val="22"/>
        </w:rPr>
        <w:t xml:space="preserve"> </w:t>
      </w:r>
      <w:r w:rsidRPr="00187F6F">
        <w:rPr>
          <w:rFonts w:ascii="Arial" w:hAnsi="Arial" w:cs="Arial"/>
          <w:sz w:val="22"/>
          <w:szCs w:val="22"/>
        </w:rPr>
        <w:t>DOSTAWĘ</w:t>
      </w:r>
      <w:r w:rsidR="00BC1F69" w:rsidRPr="00187F6F">
        <w:rPr>
          <w:rFonts w:ascii="Arial" w:hAnsi="Arial" w:cs="Arial"/>
          <w:sz w:val="22"/>
          <w:szCs w:val="22"/>
        </w:rPr>
        <w:t xml:space="preserve"> </w:t>
      </w:r>
      <w:r w:rsidR="00187F6F">
        <w:rPr>
          <w:rFonts w:ascii="Arial" w:hAnsi="Arial" w:cs="Arial"/>
          <w:sz w:val="22"/>
          <w:szCs w:val="22"/>
        </w:rPr>
        <w:t xml:space="preserve">APARATURY </w:t>
      </w:r>
      <w:r w:rsidR="00187F6F" w:rsidRPr="00187F6F">
        <w:rPr>
          <w:rFonts w:ascii="Arial" w:hAnsi="Arial" w:cs="Arial"/>
          <w:sz w:val="22"/>
          <w:szCs w:val="22"/>
        </w:rPr>
        <w:t xml:space="preserve">NAUKOWEJ </w:t>
      </w:r>
      <w:r w:rsidR="00AF6E74">
        <w:rPr>
          <w:rFonts w:ascii="Arial" w:hAnsi="Arial" w:cs="Arial"/>
          <w:sz w:val="22"/>
          <w:szCs w:val="22"/>
        </w:rPr>
        <w:t xml:space="preserve">WRAZ Z MONTAŻEM </w:t>
      </w:r>
      <w:r w:rsidR="00187F6F" w:rsidRPr="00187F6F">
        <w:rPr>
          <w:rFonts w:ascii="Arial" w:hAnsi="Arial" w:cs="Arial"/>
          <w:sz w:val="22"/>
          <w:szCs w:val="22"/>
        </w:rPr>
        <w:t>DLA UNIWERSYTETU GDAŃSKIEGO WG CZĘŚCI I-IV:</w:t>
      </w:r>
    </w:p>
    <w:p w:rsidR="00187F6F" w:rsidRPr="00187F6F" w:rsidRDefault="00187F6F" w:rsidP="00187F6F">
      <w:pPr>
        <w:pStyle w:val="Akapitzlist"/>
        <w:numPr>
          <w:ilvl w:val="0"/>
          <w:numId w:val="54"/>
        </w:numPr>
        <w:tabs>
          <w:tab w:val="left" w:pos="9072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APARATU DO POMIARU ODDZIAŁYWANIA MIĘDZY MAKROCZĄSTECZKAMI</w:t>
      </w:r>
    </w:p>
    <w:p w:rsidR="00187F6F" w:rsidRP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II.ŁAŹNI ULTRADŹWIĘKOWEJ</w:t>
      </w:r>
    </w:p>
    <w:p w:rsidR="00187F6F" w:rsidRP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III.WAGI ANALITYCZNEJ</w:t>
      </w:r>
    </w:p>
    <w:p w:rsidR="00BC656E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IV.WYTRZĄSARKI DO PŁYTEK MIKROLITROWYCH</w:t>
      </w:r>
      <w:r w:rsidR="0026552F">
        <w:rPr>
          <w:rFonts w:ascii="Arial" w:hAnsi="Arial" w:cs="Arial"/>
          <w:sz w:val="22"/>
          <w:szCs w:val="22"/>
        </w:rPr>
        <w:br/>
      </w: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AE2A20" w:rsidRPr="00AE2A20">
        <w:rPr>
          <w:rFonts w:ascii="Arial" w:hAnsi="Arial" w:cs="Arial"/>
          <w:color w:val="000000"/>
          <w:sz w:val="22"/>
          <w:szCs w:val="22"/>
        </w:rPr>
        <w:t>92336 - 2016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187F6F" w:rsidRDefault="00187F6F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187F6F" w:rsidRPr="003D04BA" w:rsidRDefault="00187F6F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3D04BA">
        <w:fldChar w:fldCharType="begin"/>
      </w:r>
      <w:r w:rsidR="00E24F0B" w:rsidRPr="003D04BA">
        <w:instrText xml:space="preserve"> TOC \o "1-3" \h \z \u </w:instrText>
      </w:r>
      <w:r w:rsidRPr="003D04BA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B93923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3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5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5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6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9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10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12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13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15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15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16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18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20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21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21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22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22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22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23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B93923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="00773D79" w:rsidRPr="00720999">
          <w:rPr>
            <w:rFonts w:ascii="Arial" w:hAnsi="Arial"/>
            <w:noProof/>
            <w:webHidden/>
            <w:sz w:val="22"/>
          </w:rPr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separate"/>
        </w:r>
        <w:r>
          <w:rPr>
            <w:rFonts w:ascii="Arial" w:hAnsi="Arial"/>
            <w:noProof/>
            <w:webHidden/>
            <w:sz w:val="22"/>
          </w:rPr>
          <w:t>24</w:t>
        </w:r>
        <w:r w:rsidR="00773D79"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773D79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187F6F" w:rsidRPr="00187F6F" w:rsidRDefault="00E24F0B" w:rsidP="00187F6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</w:t>
      </w:r>
      <w:r w:rsidR="00187F6F">
        <w:rPr>
          <w:rFonts w:ascii="Arial" w:hAnsi="Arial" w:cs="Arial"/>
          <w:sz w:val="22"/>
          <w:szCs w:val="22"/>
        </w:rPr>
        <w:t xml:space="preserve"> </w:t>
      </w:r>
      <w:r w:rsidR="00187F6F" w:rsidRPr="00187F6F">
        <w:rPr>
          <w:rFonts w:ascii="Arial" w:hAnsi="Arial" w:cs="Arial"/>
          <w:sz w:val="22"/>
          <w:szCs w:val="22"/>
        </w:rPr>
        <w:t xml:space="preserve">aparatury naukowej </w:t>
      </w:r>
      <w:r w:rsidR="004F0577">
        <w:rPr>
          <w:rFonts w:ascii="Arial" w:hAnsi="Arial" w:cs="Arial"/>
          <w:sz w:val="22"/>
          <w:szCs w:val="22"/>
        </w:rPr>
        <w:t xml:space="preserve">wraz z montażem </w:t>
      </w:r>
      <w:r w:rsidR="004F0577">
        <w:rPr>
          <w:rFonts w:ascii="Arial" w:hAnsi="Arial" w:cs="Arial"/>
          <w:sz w:val="22"/>
          <w:szCs w:val="22"/>
        </w:rPr>
        <w:br/>
      </w:r>
      <w:r w:rsidR="00187F6F" w:rsidRPr="00187F6F">
        <w:rPr>
          <w:rFonts w:ascii="Arial" w:hAnsi="Arial" w:cs="Arial"/>
          <w:sz w:val="22"/>
          <w:szCs w:val="22"/>
        </w:rPr>
        <w:t>dla Uniwersytetu Gdańskiego wg części I-IV: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aparatu do pomiaru oddziaływania między makrocząsteczkami,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łaźni ultradźwiękowej,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wagi analitycznej,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wytrz</w:t>
      </w:r>
      <w:r>
        <w:rPr>
          <w:rFonts w:ascii="Arial" w:hAnsi="Arial" w:cs="Arial"/>
          <w:sz w:val="22"/>
          <w:szCs w:val="22"/>
        </w:rPr>
        <w:t>ąsarki do płytek mikrolitrowych</w:t>
      </w:r>
      <w:r w:rsidR="00FB33A6" w:rsidRPr="00187F6F">
        <w:rPr>
          <w:rFonts w:ascii="Arial" w:hAnsi="Arial" w:cs="Arial"/>
          <w:sz w:val="22"/>
          <w:szCs w:val="22"/>
        </w:rPr>
        <w:t xml:space="preserve">, </w:t>
      </w:r>
    </w:p>
    <w:p w:rsidR="00882272" w:rsidRPr="00187F6F" w:rsidRDefault="00E24F0B" w:rsidP="00187F6F">
      <w:pPr>
        <w:tabs>
          <w:tab w:val="left" w:pos="-993"/>
          <w:tab w:val="left" w:pos="9072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zwan</w:t>
      </w:r>
      <w:r w:rsidR="00521DFC" w:rsidRPr="00187F6F">
        <w:rPr>
          <w:rFonts w:ascii="Arial" w:hAnsi="Arial" w:cs="Arial"/>
          <w:sz w:val="22"/>
          <w:szCs w:val="22"/>
        </w:rPr>
        <w:t>e</w:t>
      </w:r>
      <w:r w:rsidR="00FB33A6" w:rsidRPr="00187F6F">
        <w:rPr>
          <w:rFonts w:ascii="Arial" w:hAnsi="Arial" w:cs="Arial"/>
          <w:sz w:val="22"/>
          <w:szCs w:val="22"/>
        </w:rPr>
        <w:t>j</w:t>
      </w:r>
      <w:r w:rsidR="007608C3" w:rsidRPr="00187F6F">
        <w:rPr>
          <w:rFonts w:ascii="Arial" w:hAnsi="Arial" w:cs="Arial"/>
          <w:sz w:val="22"/>
          <w:szCs w:val="22"/>
        </w:rPr>
        <w:t xml:space="preserve"> </w:t>
      </w:r>
      <w:r w:rsidR="00D51417" w:rsidRPr="00187F6F">
        <w:rPr>
          <w:rFonts w:ascii="Arial" w:hAnsi="Arial" w:cs="Arial"/>
          <w:sz w:val="22"/>
          <w:szCs w:val="22"/>
        </w:rPr>
        <w:t>dalej „aparaturą”.</w:t>
      </w:r>
      <w:r w:rsidRPr="00187F6F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="00CF5409">
        <w:rPr>
          <w:rFonts w:ascii="Arial" w:hAnsi="Arial" w:cs="Arial"/>
          <w:b/>
          <w:sz w:val="22"/>
          <w:szCs w:val="22"/>
        </w:rPr>
        <w:t xml:space="preserve"> </w:t>
      </w:r>
      <w:r w:rsidR="00CF5409" w:rsidRPr="00CF5409">
        <w:rPr>
          <w:rFonts w:ascii="Arial" w:hAnsi="Arial" w:cs="Arial"/>
          <w:sz w:val="22"/>
          <w:szCs w:val="22"/>
        </w:rPr>
        <w:t>– odpowiednio do części I-IV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Wykonawca dostarczy aparaturę do</w:t>
      </w:r>
      <w:r w:rsidR="00187F6F" w:rsidRPr="00187F6F">
        <w:rPr>
          <w:rFonts w:ascii="Arial" w:hAnsi="Arial" w:cs="Arial"/>
          <w:sz w:val="22"/>
          <w:szCs w:val="22"/>
        </w:rPr>
        <w:t>:</w:t>
      </w:r>
      <w:r w:rsidR="00F84D0B" w:rsidRPr="00187F6F">
        <w:rPr>
          <w:rFonts w:ascii="Arial" w:hAnsi="Arial" w:cs="Arial"/>
          <w:sz w:val="22"/>
          <w:szCs w:val="22"/>
        </w:rPr>
        <w:t xml:space="preserve"> 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Katedr</w:t>
      </w:r>
      <w:r>
        <w:rPr>
          <w:rFonts w:ascii="Arial" w:hAnsi="Arial" w:cs="Arial"/>
          <w:bCs/>
          <w:sz w:val="22"/>
          <w:szCs w:val="22"/>
        </w:rPr>
        <w:t>y</w:t>
      </w:r>
      <w:r w:rsidRPr="0010363D">
        <w:rPr>
          <w:rFonts w:ascii="Arial" w:hAnsi="Arial" w:cs="Arial"/>
          <w:bCs/>
          <w:sz w:val="22"/>
          <w:szCs w:val="22"/>
        </w:rPr>
        <w:t xml:space="preserve"> Biologii Molekularnej i Komórkowej, ul. Abrahama 58, p. 206, 80-307 Gdańsk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363D">
        <w:rPr>
          <w:rFonts w:ascii="Arial" w:hAnsi="Arial" w:cs="Arial"/>
          <w:bCs/>
          <w:sz w:val="22"/>
          <w:szCs w:val="22"/>
        </w:rPr>
        <w:t>- dla części I,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Wydział</w:t>
      </w:r>
      <w:r>
        <w:rPr>
          <w:rFonts w:ascii="Arial" w:hAnsi="Arial" w:cs="Arial"/>
          <w:bCs/>
          <w:sz w:val="22"/>
          <w:szCs w:val="22"/>
        </w:rPr>
        <w:t>u</w:t>
      </w:r>
      <w:r w:rsidRPr="0010363D">
        <w:rPr>
          <w:rFonts w:ascii="Arial" w:hAnsi="Arial" w:cs="Arial"/>
          <w:bCs/>
          <w:sz w:val="22"/>
          <w:szCs w:val="22"/>
        </w:rPr>
        <w:t xml:space="preserve"> Chemii UG, ul. Wita Stwosza 63, pok. G224, G126, 80-308 Gdańsk - dla części II </w:t>
      </w:r>
      <w:r>
        <w:rPr>
          <w:rFonts w:ascii="Arial" w:hAnsi="Arial" w:cs="Arial"/>
          <w:bCs/>
          <w:sz w:val="22"/>
          <w:szCs w:val="22"/>
        </w:rPr>
        <w:br/>
      </w:r>
      <w:r w:rsidRPr="0010363D">
        <w:rPr>
          <w:rFonts w:ascii="Arial" w:hAnsi="Arial" w:cs="Arial"/>
          <w:bCs/>
          <w:sz w:val="22"/>
          <w:szCs w:val="22"/>
        </w:rPr>
        <w:t>i III,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Zakład</w:t>
      </w:r>
      <w:r>
        <w:rPr>
          <w:rFonts w:ascii="Arial" w:hAnsi="Arial" w:cs="Arial"/>
          <w:bCs/>
          <w:sz w:val="22"/>
          <w:szCs w:val="22"/>
        </w:rPr>
        <w:t>u</w:t>
      </w:r>
      <w:r w:rsidRPr="0010363D">
        <w:rPr>
          <w:rFonts w:ascii="Arial" w:hAnsi="Arial" w:cs="Arial"/>
          <w:bCs/>
          <w:sz w:val="22"/>
          <w:szCs w:val="22"/>
        </w:rPr>
        <w:t xml:space="preserve"> Szczepionek Rekombinowanych, ul. Abrahama 58, pok. 352, 80-307 Gdańsk - dla części IV.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 w:rsidRPr="00187F6F">
        <w:rPr>
          <w:rFonts w:ascii="Arial" w:hAnsi="Arial" w:cs="Arial"/>
          <w:sz w:val="22"/>
          <w:szCs w:val="22"/>
        </w:rPr>
        <w:br/>
      </w:r>
      <w:r w:rsidRPr="00187F6F">
        <w:rPr>
          <w:rFonts w:ascii="Arial" w:hAnsi="Arial" w:cs="Arial"/>
          <w:sz w:val="22"/>
          <w:szCs w:val="22"/>
        </w:rPr>
        <w:t>niż określony w rozdziale III SIWZ</w:t>
      </w:r>
      <w:r w:rsidR="00F56A9D" w:rsidRPr="00187F6F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</w:t>
      </w:r>
      <w:r w:rsidR="000931B7">
        <w:rPr>
          <w:rFonts w:ascii="Arial" w:hAnsi="Arial" w:cs="Arial"/>
          <w:sz w:val="22"/>
          <w:szCs w:val="22"/>
        </w:rPr>
        <w:t xml:space="preserve">– dla części I </w:t>
      </w:r>
      <w:proofErr w:type="spellStart"/>
      <w:r w:rsidR="000931B7">
        <w:rPr>
          <w:rFonts w:ascii="Arial" w:hAnsi="Arial" w:cs="Arial"/>
          <w:sz w:val="22"/>
          <w:szCs w:val="22"/>
        </w:rPr>
        <w:t>i</w:t>
      </w:r>
      <w:proofErr w:type="spellEnd"/>
      <w:r w:rsidR="000931B7">
        <w:rPr>
          <w:rFonts w:ascii="Arial" w:hAnsi="Arial" w:cs="Arial"/>
          <w:sz w:val="22"/>
          <w:szCs w:val="22"/>
        </w:rPr>
        <w:t xml:space="preserve"> III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sprawdzenie działania aparatury</w:t>
      </w:r>
      <w:r w:rsidR="000931B7">
        <w:rPr>
          <w:rFonts w:ascii="Arial" w:hAnsi="Arial" w:cs="Arial"/>
          <w:sz w:val="22"/>
          <w:szCs w:val="22"/>
        </w:rPr>
        <w:t xml:space="preserve"> – dla części I </w:t>
      </w:r>
      <w:proofErr w:type="spellStart"/>
      <w:r w:rsidR="000931B7">
        <w:rPr>
          <w:rFonts w:ascii="Arial" w:hAnsi="Arial" w:cs="Arial"/>
          <w:sz w:val="22"/>
          <w:szCs w:val="22"/>
        </w:rPr>
        <w:t>i</w:t>
      </w:r>
      <w:proofErr w:type="spellEnd"/>
      <w:r w:rsidR="000931B7">
        <w:rPr>
          <w:rFonts w:ascii="Arial" w:hAnsi="Arial" w:cs="Arial"/>
          <w:sz w:val="22"/>
          <w:szCs w:val="22"/>
        </w:rPr>
        <w:t xml:space="preserve"> III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10363D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</w:t>
      </w:r>
    </w:p>
    <w:p w:rsidR="0010363D" w:rsidRDefault="00521DFC" w:rsidP="006928E2">
      <w:pPr>
        <w:pStyle w:val="Akapitzlist"/>
        <w:numPr>
          <w:ilvl w:val="0"/>
          <w:numId w:val="56"/>
        </w:numPr>
        <w:tabs>
          <w:tab w:val="left" w:pos="-993"/>
          <w:tab w:val="left" w:pos="9072"/>
        </w:tabs>
        <w:spacing w:line="360" w:lineRule="auto"/>
        <w:ind w:left="113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</w:t>
      </w:r>
      <w:r w:rsidR="0010363D">
        <w:rPr>
          <w:rFonts w:ascii="Arial" w:hAnsi="Arial" w:cs="Arial"/>
          <w:sz w:val="22"/>
          <w:szCs w:val="22"/>
        </w:rPr>
        <w:t>3 osób – dla części I</w:t>
      </w:r>
      <w:r w:rsidR="003A0C4B">
        <w:rPr>
          <w:rFonts w:ascii="Arial" w:hAnsi="Arial" w:cs="Arial"/>
          <w:sz w:val="22"/>
          <w:szCs w:val="22"/>
        </w:rPr>
        <w:t>,</w:t>
      </w:r>
    </w:p>
    <w:p w:rsidR="0010363D" w:rsidRDefault="0010363D" w:rsidP="006928E2">
      <w:pPr>
        <w:pStyle w:val="Akapitzlist"/>
        <w:numPr>
          <w:ilvl w:val="0"/>
          <w:numId w:val="56"/>
        </w:numPr>
        <w:tabs>
          <w:tab w:val="left" w:pos="-993"/>
          <w:tab w:val="left" w:pos="9072"/>
        </w:tabs>
        <w:spacing w:line="360" w:lineRule="auto"/>
        <w:ind w:left="113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min. 2 osób – dla części III,</w:t>
      </w:r>
    </w:p>
    <w:p w:rsidR="00614878" w:rsidRDefault="003A0C4B" w:rsidP="0010363D">
      <w:pPr>
        <w:pStyle w:val="Akapitzlist"/>
        <w:tabs>
          <w:tab w:val="left" w:pos="-993"/>
          <w:tab w:val="left" w:pos="9072"/>
        </w:tabs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 xml:space="preserve">w pkt 4 </w:t>
      </w:r>
      <w:r w:rsidR="004F0577">
        <w:rPr>
          <w:rFonts w:ascii="Arial" w:hAnsi="Arial" w:cs="Arial"/>
          <w:sz w:val="22"/>
          <w:szCs w:val="22"/>
        </w:rPr>
        <w:t xml:space="preserve">niniejszego </w:t>
      </w:r>
      <w:r w:rsidR="00B5440E">
        <w:rPr>
          <w:rFonts w:ascii="Arial" w:hAnsi="Arial" w:cs="Arial"/>
          <w:sz w:val="22"/>
          <w:szCs w:val="22"/>
        </w:rPr>
        <w:t>rozdziału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E24F0B" w:rsidRPr="003D04BA" w:rsidRDefault="004F0577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obowiązujące</w:t>
      </w:r>
      <w:r w:rsidR="00E24F0B" w:rsidRPr="003D04BA">
        <w:rPr>
          <w:rFonts w:ascii="Arial" w:hAnsi="Arial" w:cs="Arial"/>
          <w:sz w:val="22"/>
          <w:szCs w:val="22"/>
        </w:rPr>
        <w:t xml:space="preserve"> przepisy </w:t>
      </w:r>
      <w:r>
        <w:rPr>
          <w:rFonts w:ascii="Arial" w:hAnsi="Arial" w:cs="Arial"/>
          <w:sz w:val="22"/>
          <w:szCs w:val="22"/>
        </w:rPr>
        <w:t>prawa tego wymagają, aparatura wykorzystująca</w:t>
      </w:r>
      <w:r w:rsidR="00E24F0B" w:rsidRPr="003D04BA">
        <w:rPr>
          <w:rFonts w:ascii="Arial" w:hAnsi="Arial" w:cs="Arial"/>
          <w:sz w:val="22"/>
          <w:szCs w:val="22"/>
        </w:rPr>
        <w:t xml:space="preserve"> energię</w:t>
      </w:r>
      <w:r>
        <w:rPr>
          <w:rFonts w:ascii="Arial" w:hAnsi="Arial" w:cs="Arial"/>
          <w:sz w:val="22"/>
          <w:szCs w:val="22"/>
        </w:rPr>
        <w:t xml:space="preserve"> będzie miała dołączone</w:t>
      </w:r>
      <w:r w:rsidR="00E24F0B" w:rsidRPr="003D04BA">
        <w:rPr>
          <w:rFonts w:ascii="Arial" w:hAnsi="Arial" w:cs="Arial"/>
          <w:sz w:val="22"/>
          <w:szCs w:val="22"/>
        </w:rPr>
        <w:t xml:space="preserve">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="00E24F0B" w:rsidRPr="003D04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E24F0B" w:rsidRPr="003D04BA">
        <w:rPr>
          <w:rFonts w:ascii="Arial" w:hAnsi="Arial" w:cs="Arial"/>
          <w:sz w:val="22"/>
          <w:szCs w:val="22"/>
        </w:rPr>
        <w:t xml:space="preserve">np. zużyciu energii i poziomie hałasu (wydane zgodnie z wymogami określonymi w ustawie </w:t>
      </w:r>
      <w:r>
        <w:rPr>
          <w:rFonts w:ascii="Arial" w:hAnsi="Arial" w:cs="Arial"/>
          <w:sz w:val="22"/>
          <w:szCs w:val="22"/>
        </w:rPr>
        <w:br/>
      </w:r>
      <w:r w:rsidR="00E24F0B" w:rsidRPr="003D04BA">
        <w:rPr>
          <w:rFonts w:ascii="Arial" w:hAnsi="Arial" w:cs="Arial"/>
          <w:sz w:val="22"/>
          <w:szCs w:val="22"/>
        </w:rPr>
        <w:t xml:space="preserve">z dnia 14.09.2012 r. o obowiązkach w zakresie informowania o zużyciu energii przez produkty wykorzystujące energię </w:t>
      </w:r>
      <w:r w:rsidR="00267686">
        <w:rPr>
          <w:rFonts w:ascii="Arial" w:hAnsi="Arial" w:cs="Arial"/>
          <w:sz w:val="22"/>
          <w:szCs w:val="22"/>
        </w:rPr>
        <w:t>–</w:t>
      </w:r>
      <w:r w:rsidR="00C10818">
        <w:rPr>
          <w:rFonts w:ascii="Arial" w:hAnsi="Arial" w:cs="Arial"/>
          <w:sz w:val="22"/>
          <w:szCs w:val="22"/>
        </w:rPr>
        <w:t xml:space="preserve"> </w:t>
      </w:r>
      <w:r w:rsidR="00E24F0B" w:rsidRPr="003D04BA">
        <w:rPr>
          <w:rFonts w:ascii="Arial" w:hAnsi="Arial" w:cs="Arial"/>
          <w:sz w:val="22"/>
          <w:szCs w:val="22"/>
        </w:rPr>
        <w:t>Dz. U. z 31.10.2012 r. poz. 1203</w:t>
      </w:r>
      <w:r w:rsidR="00C10818">
        <w:rPr>
          <w:rFonts w:ascii="Arial" w:hAnsi="Arial" w:cs="Arial"/>
          <w:sz w:val="22"/>
          <w:szCs w:val="22"/>
        </w:rPr>
        <w:t xml:space="preserve"> z późn. zm.</w:t>
      </w:r>
      <w:r w:rsidR="00E24F0B"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F91B36" w:rsidRPr="00F91B36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E30A5B" w:rsidRPr="00E30A5B" w:rsidRDefault="00F91B36" w:rsidP="00E30A5B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="00541A53"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y – dla </w:t>
      </w:r>
      <w:r w:rsidR="00EA1497">
        <w:rPr>
          <w:rFonts w:ascii="Arial" w:hAnsi="Arial" w:cs="Arial"/>
          <w:sz w:val="22"/>
          <w:szCs w:val="22"/>
        </w:rPr>
        <w:t>części I-III</w:t>
      </w:r>
      <w:r w:rsidR="00E30A5B">
        <w:rPr>
          <w:rFonts w:ascii="Arial" w:hAnsi="Arial" w:cs="Arial"/>
          <w:sz w:val="22"/>
          <w:szCs w:val="22"/>
        </w:rPr>
        <w:t xml:space="preserve"> </w:t>
      </w:r>
      <w:r w:rsidR="00E30A5B" w:rsidRPr="00E30A5B">
        <w:rPr>
          <w:rFonts w:ascii="Arial" w:hAnsi="Arial" w:cs="Arial"/>
          <w:sz w:val="22"/>
          <w:szCs w:val="22"/>
        </w:rPr>
        <w:t xml:space="preserve">(z uwzględnieniem zapisów rozdziału XII pkt 1, ppkt 2) lit c SIWZ) – okres gwarancji stanowi </w:t>
      </w:r>
      <w:r w:rsidR="00DA0812">
        <w:rPr>
          <w:rFonts w:ascii="Arial" w:hAnsi="Arial" w:cs="Arial"/>
          <w:sz w:val="22"/>
          <w:szCs w:val="22"/>
        </w:rPr>
        <w:t>jedno z kryteriów</w:t>
      </w:r>
      <w:r w:rsidR="00E30A5B" w:rsidRPr="00E30A5B">
        <w:rPr>
          <w:rFonts w:ascii="Arial" w:hAnsi="Arial" w:cs="Arial"/>
          <w:sz w:val="22"/>
          <w:szCs w:val="22"/>
        </w:rPr>
        <w:t xml:space="preserve"> oceny ofert dla części II i III, </w:t>
      </w:r>
    </w:p>
    <w:p w:rsidR="00F91B36" w:rsidRPr="00F91B36" w:rsidRDefault="00EA1497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F91B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miesią</w:t>
      </w:r>
      <w:r w:rsidR="00F91B36" w:rsidRPr="00F91B3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="00F91B36" w:rsidRPr="00F91B36">
        <w:rPr>
          <w:rFonts w:ascii="Arial" w:hAnsi="Arial" w:cs="Arial"/>
          <w:sz w:val="22"/>
          <w:szCs w:val="22"/>
        </w:rPr>
        <w:t xml:space="preserve"> – dla </w:t>
      </w:r>
      <w:r>
        <w:rPr>
          <w:rFonts w:ascii="Arial" w:hAnsi="Arial" w:cs="Arial"/>
          <w:sz w:val="22"/>
          <w:szCs w:val="22"/>
        </w:rPr>
        <w:t>części IV</w:t>
      </w:r>
      <w:r w:rsidR="00F91B36" w:rsidRPr="00F91B36">
        <w:rPr>
          <w:rFonts w:ascii="Arial" w:hAnsi="Arial" w:cs="Arial"/>
          <w:sz w:val="22"/>
          <w:szCs w:val="22"/>
        </w:rPr>
        <w:t xml:space="preserve">, </w:t>
      </w:r>
      <w:r w:rsidR="00F03E8A" w:rsidRPr="00F91B36">
        <w:rPr>
          <w:rFonts w:ascii="Arial" w:hAnsi="Arial" w:cs="Arial"/>
          <w:sz w:val="22"/>
          <w:szCs w:val="22"/>
        </w:rPr>
        <w:t xml:space="preserve"> 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9D41C6">
        <w:rPr>
          <w:rFonts w:ascii="Arial" w:hAnsi="Arial" w:cs="Arial"/>
          <w:sz w:val="22"/>
          <w:szCs w:val="22"/>
        </w:rPr>
        <w:t>0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9D41C6">
        <w:rPr>
          <w:rFonts w:ascii="Arial" w:hAnsi="Arial" w:cs="Arial"/>
          <w:sz w:val="22"/>
          <w:szCs w:val="22"/>
        </w:rPr>
        <w:t xml:space="preserve">przedstawiciel </w:t>
      </w:r>
      <w:r w:rsidRPr="003D04BA">
        <w:rPr>
          <w:rFonts w:ascii="Arial" w:hAnsi="Arial" w:cs="Arial"/>
          <w:sz w:val="22"/>
          <w:szCs w:val="22"/>
        </w:rPr>
        <w:t>Zamawiając</w:t>
      </w:r>
      <w:r w:rsidR="009D41C6">
        <w:rPr>
          <w:rFonts w:ascii="Arial" w:hAnsi="Arial" w:cs="Arial"/>
          <w:sz w:val="22"/>
          <w:szCs w:val="22"/>
        </w:rPr>
        <w:t>ego</w:t>
      </w:r>
      <w:r w:rsidRPr="003D04BA">
        <w:rPr>
          <w:rFonts w:ascii="Arial" w:hAnsi="Arial" w:cs="Arial"/>
          <w:sz w:val="22"/>
          <w:szCs w:val="22"/>
        </w:rPr>
        <w:t xml:space="preserve">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</w:t>
      </w:r>
      <w:r w:rsidR="00DA161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wymiany 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AB1C88">
        <w:rPr>
          <w:rFonts w:ascii="Arial" w:hAnsi="Arial" w:cs="Arial"/>
          <w:sz w:val="22"/>
          <w:szCs w:val="22"/>
        </w:rPr>
        <w:lastRenderedPageBreak/>
        <w:t xml:space="preserve">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A1497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</w:p>
    <w:p w:rsidR="00ED7B81" w:rsidRDefault="003C0AB5" w:rsidP="00E30A5B">
      <w:pPr>
        <w:pStyle w:val="Tekstpodstawowywcity"/>
        <w:numPr>
          <w:ilvl w:val="0"/>
          <w:numId w:val="60"/>
        </w:numPr>
        <w:tabs>
          <w:tab w:val="left" w:pos="9072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EA1497">
        <w:rPr>
          <w:rFonts w:ascii="Arial" w:hAnsi="Arial" w:cs="Arial"/>
          <w:sz w:val="22"/>
          <w:szCs w:val="22"/>
        </w:rPr>
        <w:t xml:space="preserve"> - dla części I, </w:t>
      </w:r>
    </w:p>
    <w:p w:rsidR="00EA1497" w:rsidRDefault="00EA1497" w:rsidP="00E30A5B">
      <w:pPr>
        <w:pStyle w:val="Tekstpodstawowywcity"/>
        <w:numPr>
          <w:ilvl w:val="0"/>
          <w:numId w:val="60"/>
        </w:numPr>
        <w:tabs>
          <w:tab w:val="left" w:pos="9072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dni </w:t>
      </w:r>
      <w:r w:rsidR="00DF5D6A">
        <w:rPr>
          <w:rFonts w:ascii="Arial" w:hAnsi="Arial" w:cs="Arial"/>
          <w:sz w:val="22"/>
          <w:szCs w:val="22"/>
        </w:rPr>
        <w:t>kalendarzowych - dla części II-IV</w:t>
      </w:r>
      <w:r>
        <w:rPr>
          <w:rFonts w:ascii="Arial" w:hAnsi="Arial" w:cs="Arial"/>
          <w:sz w:val="22"/>
          <w:szCs w:val="22"/>
        </w:rPr>
        <w:t>,</w:t>
      </w:r>
    </w:p>
    <w:p w:rsidR="00E30A5B" w:rsidRPr="009B2881" w:rsidRDefault="00E30A5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30A5B">
        <w:rPr>
          <w:rFonts w:ascii="Arial" w:hAnsi="Arial" w:cs="Arial"/>
          <w:sz w:val="22"/>
          <w:szCs w:val="22"/>
        </w:rPr>
        <w:t xml:space="preserve">(z uwzględnieniem zapisów rozdziału XII </w:t>
      </w:r>
      <w:r w:rsidR="00FF08C6">
        <w:rPr>
          <w:rFonts w:ascii="Arial" w:hAnsi="Arial" w:cs="Arial"/>
          <w:sz w:val="22"/>
          <w:szCs w:val="22"/>
        </w:rPr>
        <w:t xml:space="preserve">SIWZ </w:t>
      </w:r>
      <w:r w:rsidRPr="00E30A5B">
        <w:rPr>
          <w:rFonts w:ascii="Arial" w:hAnsi="Arial" w:cs="Arial"/>
          <w:sz w:val="22"/>
          <w:szCs w:val="22"/>
        </w:rPr>
        <w:t xml:space="preserve">pkt 1, ppkt </w:t>
      </w:r>
      <w:r>
        <w:rPr>
          <w:rFonts w:ascii="Arial" w:hAnsi="Arial" w:cs="Arial"/>
          <w:sz w:val="22"/>
          <w:szCs w:val="22"/>
        </w:rPr>
        <w:t>1</w:t>
      </w:r>
      <w:r w:rsidRPr="00E30A5B">
        <w:rPr>
          <w:rFonts w:ascii="Arial" w:hAnsi="Arial" w:cs="Arial"/>
          <w:sz w:val="22"/>
          <w:szCs w:val="22"/>
        </w:rPr>
        <w:t xml:space="preserve">) lit </w:t>
      </w:r>
      <w:r>
        <w:rPr>
          <w:rFonts w:ascii="Arial" w:hAnsi="Arial" w:cs="Arial"/>
          <w:sz w:val="22"/>
          <w:szCs w:val="22"/>
        </w:rPr>
        <w:t>b,</w:t>
      </w:r>
      <w:r w:rsidRPr="00E30A5B">
        <w:rPr>
          <w:rFonts w:ascii="Arial" w:hAnsi="Arial" w:cs="Arial"/>
          <w:sz w:val="22"/>
          <w:szCs w:val="22"/>
        </w:rPr>
        <w:t xml:space="preserve"> ppkt 2) lit </w:t>
      </w:r>
      <w:r>
        <w:rPr>
          <w:rFonts w:ascii="Arial" w:hAnsi="Arial" w:cs="Arial"/>
          <w:sz w:val="22"/>
          <w:szCs w:val="22"/>
        </w:rPr>
        <w:t>b</w:t>
      </w:r>
      <w:r w:rsidRPr="00E30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E30A5B">
        <w:rPr>
          <w:rFonts w:ascii="Arial" w:hAnsi="Arial" w:cs="Arial"/>
          <w:sz w:val="22"/>
          <w:szCs w:val="22"/>
        </w:rPr>
        <w:t xml:space="preserve">ppkt </w:t>
      </w:r>
      <w:r>
        <w:rPr>
          <w:rFonts w:ascii="Arial" w:hAnsi="Arial" w:cs="Arial"/>
          <w:sz w:val="22"/>
          <w:szCs w:val="22"/>
        </w:rPr>
        <w:t>3</w:t>
      </w:r>
      <w:r w:rsidRPr="00E30A5B">
        <w:rPr>
          <w:rFonts w:ascii="Arial" w:hAnsi="Arial" w:cs="Arial"/>
          <w:sz w:val="22"/>
          <w:szCs w:val="22"/>
        </w:rPr>
        <w:t xml:space="preserve">) lit </w:t>
      </w:r>
      <w:r>
        <w:rPr>
          <w:rFonts w:ascii="Arial" w:hAnsi="Arial" w:cs="Arial"/>
          <w:sz w:val="22"/>
          <w:szCs w:val="22"/>
        </w:rPr>
        <w:t>b</w:t>
      </w:r>
      <w:r w:rsidRPr="00E30A5B">
        <w:rPr>
          <w:rFonts w:ascii="Arial" w:hAnsi="Arial" w:cs="Arial"/>
          <w:sz w:val="22"/>
          <w:szCs w:val="22"/>
        </w:rPr>
        <w:t xml:space="preserve">) </w:t>
      </w:r>
      <w:r w:rsidR="00FF08C6">
        <w:rPr>
          <w:rFonts w:ascii="Arial" w:hAnsi="Arial" w:cs="Arial"/>
          <w:sz w:val="22"/>
          <w:szCs w:val="22"/>
        </w:rPr>
        <w:br/>
      </w:r>
      <w:r w:rsidRPr="00E30A5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termin dostawy </w:t>
      </w:r>
      <w:r w:rsidRPr="00E30A5B">
        <w:rPr>
          <w:rFonts w:ascii="Arial" w:hAnsi="Arial" w:cs="Arial"/>
          <w:sz w:val="22"/>
          <w:szCs w:val="22"/>
        </w:rPr>
        <w:t xml:space="preserve">stanowi </w:t>
      </w:r>
      <w:r w:rsidR="00DA0812">
        <w:rPr>
          <w:rFonts w:ascii="Arial" w:hAnsi="Arial" w:cs="Arial"/>
          <w:sz w:val="22"/>
          <w:szCs w:val="22"/>
        </w:rPr>
        <w:t>jedno z kryteriów</w:t>
      </w:r>
      <w:r w:rsidRPr="00E30A5B">
        <w:rPr>
          <w:rFonts w:ascii="Arial" w:hAnsi="Arial" w:cs="Arial"/>
          <w:sz w:val="22"/>
          <w:szCs w:val="22"/>
        </w:rPr>
        <w:t xml:space="preserve"> oceny ofert</w:t>
      </w:r>
      <w:r>
        <w:rPr>
          <w:rFonts w:ascii="Arial" w:hAnsi="Arial" w:cs="Arial"/>
          <w:sz w:val="22"/>
          <w:szCs w:val="22"/>
        </w:rPr>
        <w:t xml:space="preserve"> dla części I-</w:t>
      </w:r>
      <w:r w:rsidRPr="00E30A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V.</w:t>
      </w:r>
    </w:p>
    <w:p w:rsidR="00D777FF" w:rsidRPr="003D04BA" w:rsidRDefault="00D777FF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lastRenderedPageBreak/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wspólnie o udzielenie zamówienia) - każdy z Wykonawców zobowiązany jest do załączenia </w:t>
      </w:r>
      <w:r w:rsidRPr="003D04BA">
        <w:rPr>
          <w:rFonts w:ascii="Arial" w:hAnsi="Arial" w:cs="Arial"/>
          <w:i/>
          <w:sz w:val="22"/>
          <w:szCs w:val="22"/>
        </w:rPr>
        <w:lastRenderedPageBreak/>
        <w:t>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</w:t>
      </w:r>
      <w:r w:rsidR="00EA5562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EA5562">
        <w:rPr>
          <w:rFonts w:ascii="Arial" w:hAnsi="Arial" w:cs="Arial"/>
          <w:sz w:val="22"/>
          <w:szCs w:val="22"/>
        </w:rPr>
        <w:t>y</w:t>
      </w:r>
      <w:r w:rsidRPr="003D04BA">
        <w:rPr>
          <w:rFonts w:ascii="Arial" w:hAnsi="Arial" w:cs="Arial"/>
          <w:sz w:val="22"/>
          <w:szCs w:val="22"/>
        </w:rPr>
        <w:t xml:space="preserve"> odpowiada</w:t>
      </w:r>
      <w:r w:rsidR="00EA5562">
        <w:rPr>
          <w:rFonts w:ascii="Arial" w:hAnsi="Arial" w:cs="Arial"/>
          <w:sz w:val="22"/>
          <w:szCs w:val="22"/>
        </w:rPr>
        <w:t>ją</w:t>
      </w:r>
      <w:r w:rsidRPr="003D04BA">
        <w:rPr>
          <w:rFonts w:ascii="Arial" w:hAnsi="Arial" w:cs="Arial"/>
          <w:sz w:val="22"/>
          <w:szCs w:val="22"/>
        </w:rPr>
        <w:t xml:space="preserve">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EA1497">
        <w:rPr>
          <w:rFonts w:ascii="Arial" w:hAnsi="Arial" w:cs="Arial"/>
          <w:sz w:val="22"/>
          <w:szCs w:val="22"/>
        </w:rPr>
        <w:t xml:space="preserve"> – odpowiednio do części I-IV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przez Wykonawcę. Wykonawca </w:t>
      </w:r>
      <w:r w:rsidR="00D025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 xml:space="preserve">dokumenty powinny potwierdzać spełnianie przez Wykonawcę warunków </w:t>
      </w:r>
      <w:r w:rsidRPr="003D04BA">
        <w:rPr>
          <w:rFonts w:ascii="Arial" w:hAnsi="Arial" w:cs="Arial"/>
          <w:sz w:val="22"/>
          <w:szCs w:val="22"/>
        </w:rPr>
        <w:lastRenderedPageBreak/>
        <w:t>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9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</w:rPr>
        <w:t>fax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lastRenderedPageBreak/>
        <w:t xml:space="preserve">od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od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</w:t>
      </w:r>
      <w:r w:rsidR="00416A4A">
        <w:rPr>
          <w:rFonts w:ascii="Arial" w:hAnsi="Arial" w:cs="Arial"/>
          <w:sz w:val="22"/>
          <w:szCs w:val="22"/>
        </w:rPr>
        <w:t xml:space="preserve"> (odpowiednio do części)</w:t>
      </w:r>
      <w:r w:rsidRPr="00090029">
        <w:rPr>
          <w:rFonts w:ascii="Arial" w:hAnsi="Arial" w:cs="Arial"/>
          <w:sz w:val="22"/>
          <w:szCs w:val="22"/>
        </w:rPr>
        <w:t xml:space="preserve"> w wysokości:</w:t>
      </w:r>
      <w:r w:rsidRPr="00090029">
        <w:rPr>
          <w:rFonts w:ascii="Arial" w:hAnsi="Arial" w:cs="Arial"/>
        </w:rPr>
        <w:t xml:space="preserve"> </w:t>
      </w:r>
    </w:p>
    <w:p w:rsidR="00A2120D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1 780,00 </w:t>
      </w:r>
      <w:r w:rsidR="00A2120D" w:rsidRPr="00416A4A">
        <w:rPr>
          <w:rFonts w:ascii="Arial" w:hAnsi="Arial" w:cs="Arial"/>
          <w:b/>
          <w:sz w:val="22"/>
          <w:szCs w:val="22"/>
        </w:rPr>
        <w:t>PLN</w:t>
      </w:r>
      <w:r w:rsidR="00A2120D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jeden tysiąc siedemset osiemdziesiąt </w:t>
      </w:r>
      <w:r w:rsidR="00A2120D" w:rsidRPr="00416A4A">
        <w:rPr>
          <w:rFonts w:ascii="Arial" w:hAnsi="Arial" w:cs="Arial"/>
          <w:sz w:val="22"/>
          <w:szCs w:val="22"/>
        </w:rPr>
        <w:t>złotych 00/100)</w:t>
      </w:r>
      <w:r w:rsidR="00EA1497" w:rsidRPr="00416A4A">
        <w:rPr>
          <w:rFonts w:ascii="Arial" w:hAnsi="Arial" w:cs="Arial"/>
          <w:sz w:val="22"/>
          <w:szCs w:val="22"/>
        </w:rPr>
        <w:t xml:space="preserve"> – dla części I,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120,00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sto dwadzieścia </w:t>
      </w:r>
      <w:r w:rsidR="00EA1497" w:rsidRPr="00416A4A">
        <w:rPr>
          <w:rFonts w:ascii="Arial" w:hAnsi="Arial" w:cs="Arial"/>
          <w:sz w:val="22"/>
          <w:szCs w:val="22"/>
        </w:rPr>
        <w:t>złotych 00/100) – dla części I</w:t>
      </w:r>
      <w:r w:rsidR="00416A4A" w:rsidRPr="00416A4A">
        <w:rPr>
          <w:rFonts w:ascii="Arial" w:hAnsi="Arial" w:cs="Arial"/>
          <w:sz w:val="22"/>
          <w:szCs w:val="22"/>
        </w:rPr>
        <w:t>I</w:t>
      </w:r>
      <w:r w:rsidR="00EA1497" w:rsidRPr="00416A4A">
        <w:rPr>
          <w:rFonts w:ascii="Arial" w:hAnsi="Arial" w:cs="Arial"/>
          <w:sz w:val="22"/>
          <w:szCs w:val="22"/>
        </w:rPr>
        <w:t>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170,00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sto siedemdziesiąt </w:t>
      </w:r>
      <w:r w:rsidR="00EA1497" w:rsidRPr="00416A4A">
        <w:rPr>
          <w:rFonts w:ascii="Arial" w:hAnsi="Arial" w:cs="Arial"/>
          <w:sz w:val="22"/>
          <w:szCs w:val="22"/>
        </w:rPr>
        <w:t xml:space="preserve">złotych 00/100) – dla części </w:t>
      </w:r>
      <w:r w:rsidR="00416A4A" w:rsidRPr="00416A4A">
        <w:rPr>
          <w:rFonts w:ascii="Arial" w:hAnsi="Arial" w:cs="Arial"/>
          <w:sz w:val="22"/>
          <w:szCs w:val="22"/>
        </w:rPr>
        <w:t>II</w:t>
      </w:r>
      <w:r w:rsidR="00EA1497" w:rsidRPr="00416A4A">
        <w:rPr>
          <w:rFonts w:ascii="Arial" w:hAnsi="Arial" w:cs="Arial"/>
          <w:sz w:val="22"/>
          <w:szCs w:val="22"/>
        </w:rPr>
        <w:t>I,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60,00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sześćdziesiąt </w:t>
      </w:r>
      <w:r w:rsidR="00EA1497" w:rsidRPr="00416A4A">
        <w:rPr>
          <w:rFonts w:ascii="Arial" w:hAnsi="Arial" w:cs="Arial"/>
          <w:sz w:val="22"/>
          <w:szCs w:val="22"/>
        </w:rPr>
        <w:t>złotych 00/100) – dla części I</w:t>
      </w:r>
      <w:r w:rsidR="00416A4A" w:rsidRPr="00416A4A">
        <w:rPr>
          <w:rFonts w:ascii="Arial" w:hAnsi="Arial" w:cs="Arial"/>
          <w:sz w:val="22"/>
          <w:szCs w:val="22"/>
        </w:rPr>
        <w:t>V</w:t>
      </w:r>
      <w:r w:rsidR="00416A4A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lastRenderedPageBreak/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416A4A">
        <w:rPr>
          <w:rFonts w:ascii="Arial" w:hAnsi="Arial" w:cs="Arial"/>
          <w:b/>
          <w:bCs/>
          <w:sz w:val="22"/>
          <w:szCs w:val="22"/>
        </w:rPr>
        <w:t>61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</w:t>
      </w:r>
      <w:r w:rsidR="00416A4A">
        <w:rPr>
          <w:rFonts w:ascii="Arial" w:hAnsi="Arial" w:cs="Arial"/>
          <w:b/>
          <w:bCs/>
          <w:sz w:val="22"/>
          <w:szCs w:val="22"/>
        </w:rPr>
        <w:t xml:space="preserve"> – część …</w:t>
      </w:r>
      <w:r w:rsidRPr="00090029">
        <w:rPr>
          <w:rFonts w:ascii="Arial" w:hAnsi="Arial" w:cs="Arial"/>
          <w:b/>
          <w:bCs/>
          <w:sz w:val="22"/>
          <w:szCs w:val="22"/>
        </w:rPr>
        <w:t>”</w:t>
      </w:r>
      <w:r w:rsidR="00416A4A" w:rsidRPr="00416A4A">
        <w:rPr>
          <w:rFonts w:ascii="Arial" w:hAnsi="Arial" w:cs="Arial"/>
          <w:bCs/>
          <w:sz w:val="22"/>
          <w:szCs w:val="22"/>
        </w:rPr>
        <w:t>.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Pr="005F523F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 xml:space="preserve">po jego stronie, nie złożył dokumentów lub oświadczeń, o których mowa w art. 25 </w:t>
      </w:r>
      <w:r w:rsidRPr="005F523F">
        <w:rPr>
          <w:rFonts w:ascii="Arial" w:hAnsi="Arial" w:cs="Arial"/>
          <w:sz w:val="22"/>
          <w:szCs w:val="22"/>
        </w:rPr>
        <w:lastRenderedPageBreak/>
        <w:t>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lastRenderedPageBreak/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CF5409">
        <w:rPr>
          <w:rFonts w:ascii="Arial" w:hAnsi="Arial" w:cs="Arial"/>
          <w:b/>
          <w:sz w:val="22"/>
          <w:szCs w:val="22"/>
        </w:rPr>
        <w:t xml:space="preserve"> - </w:t>
      </w:r>
      <w:r w:rsidR="00CF5409" w:rsidRPr="00CF5409">
        <w:rPr>
          <w:rFonts w:ascii="Arial" w:hAnsi="Arial" w:cs="Arial"/>
          <w:sz w:val="22"/>
          <w:szCs w:val="22"/>
        </w:rPr>
        <w:t>odpowiednio do części I-IV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2A65" w:rsidRPr="000C0FAD" w:rsidTr="00B73292">
        <w:trPr>
          <w:trHeight w:val="2940"/>
        </w:trPr>
        <w:tc>
          <w:tcPr>
            <w:tcW w:w="10065" w:type="dxa"/>
          </w:tcPr>
          <w:p w:rsidR="00262A65" w:rsidRPr="000C0FAD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0C0FAD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 w:rsidRPr="000C0FA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0C0FAD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0C0FAD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Pr="000C0FAD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0C0FAD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80-309 Gdańsk Oliwa  </w:t>
            </w:r>
          </w:p>
          <w:p w:rsidR="00262A65" w:rsidRPr="000C0FAD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>61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/1</w:t>
            </w:r>
            <w:r w:rsidR="00C545FF" w:rsidRPr="000C0FAD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0C0FAD" w:rsidRDefault="00A7620D" w:rsidP="00B93923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>aparatury naukowej</w:t>
            </w:r>
            <w:r w:rsidR="00884B15">
              <w:rPr>
                <w:rFonts w:ascii="Arial" w:hAnsi="Arial" w:cs="Arial"/>
                <w:sz w:val="22"/>
                <w:szCs w:val="22"/>
              </w:rPr>
              <w:t xml:space="preserve"> wraz z montażem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 xml:space="preserve"> dla Uniwer</w:t>
            </w:r>
            <w:r w:rsidR="000C0FAD" w:rsidRPr="000C0FAD">
              <w:rPr>
                <w:rFonts w:ascii="Arial" w:hAnsi="Arial" w:cs="Arial"/>
                <w:sz w:val="22"/>
                <w:szCs w:val="22"/>
              </w:rPr>
              <w:t>sytetu Gdańskiego w części …</w:t>
            </w:r>
            <w:r w:rsidR="003E2EC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3E2EC8">
              <w:rPr>
                <w:rFonts w:ascii="Arial" w:hAnsi="Arial" w:cs="Arial"/>
                <w:sz w:val="22"/>
                <w:szCs w:val="22"/>
              </w:rPr>
              <w:br/>
            </w:r>
            <w:r w:rsidR="003E2EC8" w:rsidRPr="003E2EC8">
              <w:rPr>
                <w:rFonts w:ascii="Arial" w:hAnsi="Arial" w:cs="Arial"/>
                <w:i/>
                <w:sz w:val="22"/>
                <w:szCs w:val="22"/>
              </w:rPr>
              <w:t>(*Wykonawca wpisuje nr części do której składa ofertę)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B93923">
              <w:rPr>
                <w:rFonts w:ascii="Arial" w:hAnsi="Arial" w:cs="Arial"/>
                <w:sz w:val="22"/>
                <w:szCs w:val="22"/>
              </w:rPr>
              <w:t>05.05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.201</w:t>
            </w:r>
            <w:r w:rsidR="003C0AB5" w:rsidRPr="000C0FAD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Pr="000C0FAD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0C0FAD" w:rsidRDefault="000C0FAD" w:rsidP="000C0FAD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C0FAD">
        <w:rPr>
          <w:rFonts w:ascii="Arial" w:hAnsi="Arial" w:cs="Arial"/>
          <w:sz w:val="22"/>
          <w:szCs w:val="22"/>
        </w:rPr>
        <w:lastRenderedPageBreak/>
        <w:t>Każdy Wykonawca może złożyć tylko jedną, jednoznaczną ofertę na każdą z części postępowania osobno (dopuszcza się składanie ofert przez Wykonawcę na wybraną(e) lub też wszystkie części postępowania),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 zwalczaniu nieuczciwej konkurencji (tekst jednolity: Dz.</w:t>
      </w:r>
      <w:r w:rsidR="00FF63FC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U.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B93923" w:rsidRDefault="00B9392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3923" w:rsidRPr="00B93923" w:rsidRDefault="00B93923" w:rsidP="00B93923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B93923">
        <w:rPr>
          <w:rFonts w:ascii="Arial" w:hAnsi="Arial" w:cs="Arial"/>
          <w:b/>
          <w:sz w:val="22"/>
          <w:szCs w:val="22"/>
        </w:rPr>
        <w:t>05.05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B93923">
        <w:rPr>
          <w:rFonts w:ascii="Arial" w:hAnsi="Arial" w:cs="Arial"/>
          <w:b/>
          <w:sz w:val="22"/>
          <w:szCs w:val="22"/>
        </w:rPr>
        <w:t>05.05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432358" w:rsidRPr="00432358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 w:rsidRPr="00432358">
        <w:rPr>
          <w:rFonts w:ascii="Arial" w:hAnsi="Arial" w:cs="Arial"/>
          <w:sz w:val="22"/>
          <w:szCs w:val="22"/>
        </w:rPr>
        <w:t>oraz</w:t>
      </w:r>
      <w:r w:rsidR="00432358" w:rsidRPr="00432358">
        <w:rPr>
          <w:rFonts w:ascii="Arial" w:hAnsi="Arial" w:cs="Arial"/>
          <w:sz w:val="22"/>
          <w:szCs w:val="22"/>
        </w:rPr>
        <w:t>:</w:t>
      </w:r>
    </w:p>
    <w:p w:rsidR="00432358" w:rsidRPr="00432358" w:rsidRDefault="00432358" w:rsidP="0043235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>- termin dostawy – dla części I-IV,</w:t>
      </w:r>
    </w:p>
    <w:p w:rsidR="00416A4A" w:rsidRPr="00432358" w:rsidRDefault="00432358" w:rsidP="0043235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>- okres gwarancji – dla części II i III</w:t>
      </w:r>
      <w:r w:rsidR="0067645F" w:rsidRPr="00432358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416A4A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lastRenderedPageBreak/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5A1452" w:rsidRPr="00A960C0" w:rsidRDefault="005A1452" w:rsidP="005A1452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t>Dla części I</w:t>
      </w:r>
    </w:p>
    <w:p w:rsidR="00A76B07" w:rsidRDefault="00F06EE1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960C0" w:rsidRDefault="00ED14C4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A960C0">
        <w:rPr>
          <w:rFonts w:ascii="Arial" w:hAnsi="Arial" w:cs="Arial"/>
          <w:b/>
          <w:sz w:val="22"/>
          <w:szCs w:val="22"/>
        </w:rPr>
        <w:t xml:space="preserve">Termin dostawy </w:t>
      </w:r>
      <w:r>
        <w:rPr>
          <w:rFonts w:ascii="Arial" w:hAnsi="Arial" w:cs="Arial"/>
          <w:b/>
          <w:sz w:val="22"/>
          <w:szCs w:val="22"/>
        </w:rPr>
        <w:t>-  10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A960C0"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dostawy: do 6 tygodni – 10 pkt.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dostawy: powyżej 6 tygodni do 8 tygodni – 1 pkt.</w:t>
      </w:r>
    </w:p>
    <w:p w:rsidR="007840D2" w:rsidRDefault="007840D2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lastRenderedPageBreak/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Pr="00A960C0" w:rsidRDefault="00A960C0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960C0">
        <w:rPr>
          <w:rFonts w:ascii="Arial" w:hAnsi="Arial" w:cs="Arial"/>
          <w:b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960C0" w:rsidRDefault="00A960C0" w:rsidP="00A96897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 xml:space="preserve">+ </w:t>
      </w:r>
      <w:r>
        <w:rPr>
          <w:rFonts w:ascii="Arial" w:hAnsi="Arial" w:cs="Arial"/>
          <w:b/>
          <w:sz w:val="22"/>
          <w:szCs w:val="22"/>
        </w:rPr>
        <w:t>TD</w:t>
      </w: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60C0" w:rsidRPr="00A960C0" w:rsidRDefault="00A960C0" w:rsidP="00A960C0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A960C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i III</w:t>
      </w:r>
    </w:p>
    <w:p w:rsidR="00A960C0" w:rsidRDefault="00A960C0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Cena oferty  -  90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>
        <w:rPr>
          <w:rFonts w:ascii="Arial" w:hAnsi="Arial" w:cs="Arial"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w kryterium „</w:t>
      </w:r>
      <w:r>
        <w:rPr>
          <w:rFonts w:ascii="Arial" w:hAnsi="Arial" w:cs="Arial"/>
          <w:sz w:val="22"/>
          <w:szCs w:val="22"/>
        </w:rPr>
        <w:t>cena oferty</w:t>
      </w:r>
      <w:r w:rsidRPr="00FB55AF">
        <w:rPr>
          <w:rFonts w:ascii="Arial" w:hAnsi="Arial" w:cs="Arial"/>
          <w:sz w:val="22"/>
          <w:szCs w:val="22"/>
        </w:rPr>
        <w:t>”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Default="00A960C0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462585">
        <w:rPr>
          <w:rFonts w:ascii="Arial" w:hAnsi="Arial" w:cs="Arial"/>
          <w:b/>
          <w:sz w:val="22"/>
          <w:szCs w:val="22"/>
        </w:rPr>
        <w:t>Termin dostawy -  5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do 21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5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powyżej 21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 xml:space="preserve">do 30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 pkt.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462585">
        <w:rPr>
          <w:rFonts w:ascii="Arial" w:hAnsi="Arial" w:cs="Arial"/>
          <w:b/>
          <w:sz w:val="22"/>
          <w:szCs w:val="22"/>
        </w:rPr>
        <w:t>maksymalnie 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0099A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Okres gwarancji -  5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(OG)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62585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>: 12 miesięcy – 1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62585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>: powyżej 12 miesięcy – 5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Pr="00462585" w:rsidRDefault="00A960C0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62585">
        <w:rPr>
          <w:rFonts w:ascii="Arial" w:hAnsi="Arial" w:cs="Arial"/>
          <w:b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960C0" w:rsidRDefault="00462585" w:rsidP="00A96897">
      <w:pPr>
        <w:pStyle w:val="Akapitzlist"/>
        <w:tabs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A960C0" w:rsidRPr="0060099A">
        <w:rPr>
          <w:rFonts w:ascii="Arial" w:hAnsi="Arial" w:cs="Arial"/>
          <w:b/>
          <w:sz w:val="22"/>
          <w:szCs w:val="22"/>
        </w:rPr>
        <w:t>P = P</w:t>
      </w:r>
      <w:r w:rsidR="00A960C0"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="00A960C0" w:rsidRPr="0060099A">
        <w:rPr>
          <w:rFonts w:ascii="Arial" w:hAnsi="Arial" w:cs="Arial"/>
          <w:b/>
          <w:sz w:val="22"/>
          <w:szCs w:val="22"/>
        </w:rPr>
        <w:t xml:space="preserve">+ </w:t>
      </w:r>
      <w:r w:rsidR="00A960C0">
        <w:rPr>
          <w:rFonts w:ascii="Arial" w:hAnsi="Arial" w:cs="Arial"/>
          <w:b/>
          <w:sz w:val="22"/>
          <w:szCs w:val="22"/>
        </w:rPr>
        <w:t>TD</w:t>
      </w:r>
      <w:r>
        <w:rPr>
          <w:rFonts w:ascii="Arial" w:hAnsi="Arial" w:cs="Arial"/>
          <w:b/>
          <w:sz w:val="22"/>
          <w:szCs w:val="22"/>
        </w:rPr>
        <w:t xml:space="preserve"> + OG</w:t>
      </w:r>
    </w:p>
    <w:p w:rsidR="00462585" w:rsidRPr="00A960C0" w:rsidRDefault="00462585" w:rsidP="00462585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t>Dla części 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Cena oferty  -  90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lastRenderedPageBreak/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>
        <w:rPr>
          <w:rFonts w:ascii="Arial" w:hAnsi="Arial" w:cs="Arial"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w kryterium „</w:t>
      </w:r>
      <w:r>
        <w:rPr>
          <w:rFonts w:ascii="Arial" w:hAnsi="Arial" w:cs="Arial"/>
          <w:sz w:val="22"/>
          <w:szCs w:val="22"/>
        </w:rPr>
        <w:t>cena oferty</w:t>
      </w:r>
      <w:r w:rsidRPr="00FB55AF">
        <w:rPr>
          <w:rFonts w:ascii="Arial" w:hAnsi="Arial" w:cs="Arial"/>
          <w:sz w:val="22"/>
          <w:szCs w:val="22"/>
        </w:rPr>
        <w:t>”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Termin dostawy -  10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do 14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10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powyżej 14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 xml:space="preserve">do 30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Pr="00A960C0" w:rsidRDefault="00462585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960C0">
        <w:rPr>
          <w:rFonts w:ascii="Arial" w:hAnsi="Arial" w:cs="Arial"/>
          <w:b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462585" w:rsidRDefault="00462585" w:rsidP="00A96897">
      <w:pPr>
        <w:pStyle w:val="Akapitzlist"/>
        <w:tabs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 xml:space="preserve">+ </w:t>
      </w:r>
      <w:r>
        <w:rPr>
          <w:rFonts w:ascii="Arial" w:hAnsi="Arial" w:cs="Arial"/>
          <w:b/>
          <w:sz w:val="22"/>
          <w:szCs w:val="22"/>
        </w:rPr>
        <w:t>TD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Maksymal</w:t>
      </w:r>
      <w:r w:rsidR="005A1452">
        <w:rPr>
          <w:rFonts w:ascii="Arial" w:hAnsi="Arial" w:cs="Arial"/>
          <w:b/>
          <w:sz w:val="22"/>
          <w:szCs w:val="22"/>
        </w:rPr>
        <w:t xml:space="preserve">na ilość punktów,  jaką mogą </w:t>
      </w:r>
      <w:r w:rsidRPr="003D04BA">
        <w:rPr>
          <w:rFonts w:ascii="Arial" w:hAnsi="Arial" w:cs="Arial"/>
          <w:b/>
          <w:sz w:val="22"/>
          <w:szCs w:val="22"/>
        </w:rPr>
        <w:t>osiągnąć ofert</w:t>
      </w:r>
      <w:r w:rsidR="005A1452">
        <w:rPr>
          <w:rFonts w:ascii="Arial" w:hAnsi="Arial" w:cs="Arial"/>
          <w:b/>
          <w:sz w:val="22"/>
          <w:szCs w:val="22"/>
        </w:rPr>
        <w:t>y</w:t>
      </w:r>
      <w:r w:rsidRPr="003D04BA">
        <w:rPr>
          <w:rFonts w:ascii="Arial" w:hAnsi="Arial" w:cs="Arial"/>
          <w:b/>
          <w:sz w:val="22"/>
          <w:szCs w:val="22"/>
        </w:rPr>
        <w:t xml:space="preserve">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</w:t>
      </w:r>
      <w:r w:rsidR="005A1452">
        <w:rPr>
          <w:rFonts w:ascii="Arial" w:hAnsi="Arial" w:cs="Arial"/>
          <w:b/>
          <w:sz w:val="22"/>
          <w:szCs w:val="22"/>
        </w:rPr>
        <w:t xml:space="preserve"> (odpowiednio dla części I-IV)</w:t>
      </w:r>
      <w:r w:rsidRPr="003D04BA">
        <w:rPr>
          <w:rFonts w:ascii="Arial" w:hAnsi="Arial" w:cs="Arial"/>
          <w:b/>
          <w:sz w:val="22"/>
          <w:szCs w:val="22"/>
        </w:rPr>
        <w:t>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E30A5B">
        <w:rPr>
          <w:rFonts w:ascii="Arial" w:hAnsi="Arial" w:cs="Arial"/>
          <w:b/>
          <w:sz w:val="22"/>
          <w:szCs w:val="22"/>
        </w:rPr>
        <w:t xml:space="preserve"> </w:t>
      </w:r>
      <w:r w:rsidR="00E30A5B" w:rsidRPr="00E30A5B">
        <w:rPr>
          <w:rFonts w:ascii="Arial" w:hAnsi="Arial" w:cs="Arial"/>
          <w:sz w:val="22"/>
          <w:szCs w:val="22"/>
        </w:rPr>
        <w:t>– odpowiednio do części I-IV</w:t>
      </w:r>
      <w:r w:rsidR="003141EB" w:rsidRPr="00E30A5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AA5AB2">
        <w:rPr>
          <w:rFonts w:ascii="Arial" w:hAnsi="Arial" w:cs="Arial"/>
          <w:sz w:val="22"/>
          <w:szCs w:val="22"/>
        </w:rPr>
        <w:t>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E17BCD">
        <w:rPr>
          <w:rFonts w:ascii="Arial" w:hAnsi="Arial" w:cs="Arial"/>
          <w:sz w:val="22"/>
          <w:szCs w:val="22"/>
        </w:rPr>
        <w:t>ć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E30A5B">
        <w:rPr>
          <w:rFonts w:ascii="Arial" w:hAnsi="Arial" w:cs="Arial"/>
          <w:sz w:val="22"/>
          <w:szCs w:val="22"/>
        </w:rPr>
        <w:t xml:space="preserve"> według</w:t>
      </w:r>
      <w:r w:rsidR="00E30A5B" w:rsidRPr="00E30A5B">
        <w:rPr>
          <w:rFonts w:ascii="Arial" w:hAnsi="Arial" w:cs="Arial"/>
          <w:sz w:val="22"/>
          <w:szCs w:val="22"/>
        </w:rPr>
        <w:t xml:space="preserve"> części I-IV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10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>80-309 przy ul. 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B93923" w:rsidRDefault="00B9392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3923" w:rsidRPr="00B93923" w:rsidRDefault="00B93923" w:rsidP="00B93923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tabs>
          <w:tab w:val="left" w:pos="0"/>
        </w:tabs>
        <w:spacing w:line="360" w:lineRule="auto"/>
        <w:ind w:firstLine="1276"/>
        <w:rPr>
          <w:rFonts w:ascii="Arial" w:eastAsiaTheme="minorHAnsi" w:hAnsi="Arial" w:cs="Arial"/>
          <w:b/>
          <w:lang w:eastAsia="en-US"/>
        </w:rPr>
      </w:pPr>
      <w:r w:rsidRPr="00B93923">
        <w:rPr>
          <w:rFonts w:ascii="Arial" w:eastAsiaTheme="minorHAnsi" w:hAnsi="Arial" w:cs="Arial"/>
          <w:b/>
          <w:lang w:eastAsia="en-US"/>
        </w:rPr>
        <w:t>Zatwierdzenie SIWZ: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B93923" w:rsidRPr="00B93923" w:rsidTr="00B93923">
        <w:tc>
          <w:tcPr>
            <w:tcW w:w="127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B93923">
              <w:rPr>
                <w:rFonts w:ascii="Arial" w:eastAsiaTheme="minorHAnsi" w:hAnsi="Arial" w:cs="Arial"/>
                <w:b/>
                <w:lang w:eastAsia="en-US"/>
              </w:rPr>
              <w:t>Zatwierdzam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>……………………………………………………………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 xml:space="preserve">(podpis Wnioskodawcy) 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804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  <w:r w:rsidRPr="00B93923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B93923" w:rsidRPr="00B93923" w:rsidTr="00B93923">
        <w:tc>
          <w:tcPr>
            <w:tcW w:w="127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B93923">
              <w:rPr>
                <w:rFonts w:ascii="Arial" w:eastAsiaTheme="minorHAnsi" w:hAnsi="Arial" w:cs="Arial"/>
                <w:b/>
                <w:lang w:eastAsia="en-US"/>
              </w:rPr>
              <w:t>Zatwierdzam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>……………………………………………………………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 xml:space="preserve">(podpis prowadzącego specjalisty) </w:t>
            </w:r>
          </w:p>
        </w:tc>
        <w:tc>
          <w:tcPr>
            <w:tcW w:w="7804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B93923" w:rsidRPr="00B93923" w:rsidTr="00B93923">
        <w:tc>
          <w:tcPr>
            <w:tcW w:w="127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B93923">
              <w:rPr>
                <w:rFonts w:ascii="Arial" w:eastAsiaTheme="minorHAnsi" w:hAnsi="Arial" w:cs="Arial"/>
                <w:b/>
                <w:lang w:eastAsia="en-US"/>
              </w:rPr>
              <w:t>Zatwierdzam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>……………………………………………………………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 xml:space="preserve">(podpis Kierownika Działu Zamówień Publicznych lub osoby upoważnionej) </w:t>
            </w:r>
          </w:p>
        </w:tc>
        <w:tc>
          <w:tcPr>
            <w:tcW w:w="7804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B93923" w:rsidRPr="00B93923" w:rsidTr="00B93923">
        <w:tc>
          <w:tcPr>
            <w:tcW w:w="127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0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B93923">
              <w:rPr>
                <w:rFonts w:ascii="Arial" w:eastAsiaTheme="minorHAnsi" w:hAnsi="Arial" w:cs="Arial"/>
                <w:b/>
                <w:lang w:eastAsia="en-US"/>
              </w:rPr>
              <w:t>Zatwierdzam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>……………………………………………………………</w:t>
            </w:r>
          </w:p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B93923">
              <w:rPr>
                <w:rFonts w:ascii="Arial" w:eastAsiaTheme="minorHAnsi" w:hAnsi="Arial" w:cs="Arial"/>
                <w:lang w:eastAsia="en-US"/>
              </w:rPr>
              <w:t>(podpis Kierownika Zamawiającego lub osoby upoważnionej)</w:t>
            </w:r>
          </w:p>
        </w:tc>
        <w:tc>
          <w:tcPr>
            <w:tcW w:w="7804" w:type="dxa"/>
          </w:tcPr>
          <w:p w:rsidR="00B93923" w:rsidRPr="00B93923" w:rsidRDefault="00B93923" w:rsidP="00B93923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93923" w:rsidRPr="00B93923" w:rsidRDefault="00B93923" w:rsidP="00B93923">
      <w:pPr>
        <w:tabs>
          <w:tab w:val="left" w:pos="1200"/>
        </w:tabs>
        <w:spacing w:line="360" w:lineRule="auto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tabs>
          <w:tab w:val="left" w:pos="0"/>
        </w:tabs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B93923" w:rsidRPr="00B93923" w:rsidRDefault="00B93923" w:rsidP="00B93923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B93923" w:rsidRPr="00B93923" w:rsidRDefault="00B93923" w:rsidP="00B93923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3923" w:rsidRPr="00B93923" w:rsidRDefault="00B93923" w:rsidP="00B93923">
      <w:pPr>
        <w:tabs>
          <w:tab w:val="left" w:pos="4020"/>
        </w:tabs>
        <w:spacing w:line="276" w:lineRule="auto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B93923" w:rsidRPr="00B93923" w:rsidRDefault="00B93923" w:rsidP="00B93923">
      <w:pPr>
        <w:spacing w:line="360" w:lineRule="auto"/>
        <w:ind w:left="284" w:hanging="284"/>
        <w:jc w:val="both"/>
        <w:rPr>
          <w:rFonts w:ascii="Calibri" w:eastAsiaTheme="minorHAnsi" w:hAnsi="Calibri" w:cstheme="minorBidi"/>
          <w:lang w:eastAsia="en-US"/>
        </w:rPr>
      </w:pP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1" w:name="_GoBack"/>
      <w:bookmarkEnd w:id="21"/>
    </w:p>
    <w:sectPr w:rsidR="00C545FF" w:rsidSect="00B32EBD">
      <w:headerReference w:type="default" r:id="rId11"/>
      <w:footerReference w:type="default" r:id="rId12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23" w:rsidRDefault="00B93923" w:rsidP="002B10BA">
      <w:r>
        <w:separator/>
      </w:r>
    </w:p>
  </w:endnote>
  <w:endnote w:type="continuationSeparator" w:id="0">
    <w:p w:rsidR="00B93923" w:rsidRDefault="00B93923" w:rsidP="002B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3" w:rsidRDefault="00B93923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B93923" w:rsidRDefault="00B93923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B93923" w:rsidRDefault="00B93923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Pr="00A808A7">
      <w:rPr>
        <w:rFonts w:cs="Arial"/>
        <w:sz w:val="18"/>
        <w:szCs w:val="18"/>
      </w:rPr>
      <w:fldChar w:fldCharType="separate"/>
    </w:r>
    <w:r w:rsidR="009F0ED9">
      <w:rPr>
        <w:rFonts w:cs="Arial"/>
        <w:noProof/>
        <w:sz w:val="18"/>
        <w:szCs w:val="18"/>
      </w:rPr>
      <w:t>25</w:t>
    </w:r>
    <w:r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23" w:rsidRDefault="00B93923" w:rsidP="002B10BA">
      <w:r>
        <w:separator/>
      </w:r>
    </w:p>
  </w:footnote>
  <w:footnote w:type="continuationSeparator" w:id="0">
    <w:p w:rsidR="00B93923" w:rsidRDefault="00B93923" w:rsidP="002B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23" w:rsidRDefault="00B93923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61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B93923" w:rsidRPr="002C0237" w:rsidRDefault="00B93923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A225D0"/>
    <w:lvl w:ilvl="0">
      <w:start w:val="1"/>
      <w:numFmt w:val="upperRoman"/>
      <w:pStyle w:val="Nagwek2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5C8"/>
    <w:multiLevelType w:val="hybridMultilevel"/>
    <w:tmpl w:val="440008F8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0F2F5A"/>
    <w:multiLevelType w:val="hybridMultilevel"/>
    <w:tmpl w:val="3AA0623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7366F1"/>
    <w:multiLevelType w:val="hybridMultilevel"/>
    <w:tmpl w:val="DE389BB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646816"/>
    <w:multiLevelType w:val="hybridMultilevel"/>
    <w:tmpl w:val="4392BEAC"/>
    <w:lvl w:ilvl="0" w:tplc="0AF4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C58F6"/>
    <w:multiLevelType w:val="hybridMultilevel"/>
    <w:tmpl w:val="BB3227A0"/>
    <w:lvl w:ilvl="0" w:tplc="D7B03C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10A7B2E"/>
    <w:multiLevelType w:val="hybridMultilevel"/>
    <w:tmpl w:val="E8C0CD08"/>
    <w:lvl w:ilvl="0" w:tplc="9FB2132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9382DEB"/>
    <w:multiLevelType w:val="hybridMultilevel"/>
    <w:tmpl w:val="94421006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"/>
  </w:num>
  <w:num w:numId="3">
    <w:abstractNumId w:val="44"/>
  </w:num>
  <w:num w:numId="4">
    <w:abstractNumId w:val="14"/>
  </w:num>
  <w:num w:numId="5">
    <w:abstractNumId w:val="20"/>
  </w:num>
  <w:num w:numId="6">
    <w:abstractNumId w:val="56"/>
  </w:num>
  <w:num w:numId="7">
    <w:abstractNumId w:val="57"/>
  </w:num>
  <w:num w:numId="8">
    <w:abstractNumId w:val="28"/>
  </w:num>
  <w:num w:numId="9">
    <w:abstractNumId w:val="50"/>
  </w:num>
  <w:num w:numId="10">
    <w:abstractNumId w:val="3"/>
  </w:num>
  <w:num w:numId="11">
    <w:abstractNumId w:val="48"/>
  </w:num>
  <w:num w:numId="12">
    <w:abstractNumId w:val="54"/>
  </w:num>
  <w:num w:numId="13">
    <w:abstractNumId w:val="27"/>
  </w:num>
  <w:num w:numId="14">
    <w:abstractNumId w:val="49"/>
  </w:num>
  <w:num w:numId="15">
    <w:abstractNumId w:val="37"/>
  </w:num>
  <w:num w:numId="16">
    <w:abstractNumId w:val="33"/>
  </w:num>
  <w:num w:numId="17">
    <w:abstractNumId w:val="15"/>
  </w:num>
  <w:num w:numId="18">
    <w:abstractNumId w:val="36"/>
  </w:num>
  <w:num w:numId="19">
    <w:abstractNumId w:val="16"/>
  </w:num>
  <w:num w:numId="20">
    <w:abstractNumId w:val="30"/>
  </w:num>
  <w:num w:numId="21">
    <w:abstractNumId w:val="22"/>
  </w:num>
  <w:num w:numId="22">
    <w:abstractNumId w:val="46"/>
  </w:num>
  <w:num w:numId="23">
    <w:abstractNumId w:val="34"/>
  </w:num>
  <w:num w:numId="24">
    <w:abstractNumId w:val="29"/>
  </w:num>
  <w:num w:numId="25">
    <w:abstractNumId w:val="40"/>
  </w:num>
  <w:num w:numId="26">
    <w:abstractNumId w:val="12"/>
  </w:num>
  <w:num w:numId="27">
    <w:abstractNumId w:val="51"/>
  </w:num>
  <w:num w:numId="28">
    <w:abstractNumId w:val="6"/>
  </w:num>
  <w:num w:numId="29">
    <w:abstractNumId w:val="45"/>
  </w:num>
  <w:num w:numId="30">
    <w:abstractNumId w:val="8"/>
  </w:num>
  <w:num w:numId="31">
    <w:abstractNumId w:val="10"/>
  </w:num>
  <w:num w:numId="32">
    <w:abstractNumId w:val="41"/>
  </w:num>
  <w:num w:numId="33">
    <w:abstractNumId w:val="24"/>
  </w:num>
  <w:num w:numId="34">
    <w:abstractNumId w:val="43"/>
  </w:num>
  <w:num w:numId="35">
    <w:abstractNumId w:val="11"/>
  </w:num>
  <w:num w:numId="36">
    <w:abstractNumId w:val="18"/>
  </w:num>
  <w:num w:numId="37">
    <w:abstractNumId w:val="7"/>
  </w:num>
  <w:num w:numId="38">
    <w:abstractNumId w:val="58"/>
  </w:num>
  <w:num w:numId="39">
    <w:abstractNumId w:val="42"/>
  </w:num>
  <w:num w:numId="40">
    <w:abstractNumId w:val="17"/>
  </w:num>
  <w:num w:numId="41">
    <w:abstractNumId w:val="55"/>
  </w:num>
  <w:num w:numId="42">
    <w:abstractNumId w:val="31"/>
  </w:num>
  <w:num w:numId="43">
    <w:abstractNumId w:val="53"/>
  </w:num>
  <w:num w:numId="44">
    <w:abstractNumId w:val="32"/>
  </w:num>
  <w:num w:numId="45">
    <w:abstractNumId w:val="19"/>
  </w:num>
  <w:num w:numId="46">
    <w:abstractNumId w:val="52"/>
  </w:num>
  <w:num w:numId="47">
    <w:abstractNumId w:val="21"/>
  </w:num>
  <w:num w:numId="48">
    <w:abstractNumId w:val="4"/>
  </w:num>
  <w:num w:numId="49">
    <w:abstractNumId w:val="23"/>
  </w:num>
  <w:num w:numId="50">
    <w:abstractNumId w:val="47"/>
  </w:num>
  <w:num w:numId="51">
    <w:abstractNumId w:val="38"/>
  </w:num>
  <w:num w:numId="52">
    <w:abstractNumId w:val="59"/>
  </w:num>
  <w:num w:numId="53">
    <w:abstractNumId w:val="25"/>
  </w:num>
  <w:num w:numId="54">
    <w:abstractNumId w:val="13"/>
  </w:num>
  <w:num w:numId="55">
    <w:abstractNumId w:val="5"/>
  </w:num>
  <w:num w:numId="56">
    <w:abstractNumId w:val="26"/>
  </w:num>
  <w:num w:numId="57">
    <w:abstractNumId w:val="39"/>
  </w:num>
  <w:num w:numId="58">
    <w:abstractNumId w:val="9"/>
  </w:num>
  <w:num w:numId="59">
    <w:abstractNumId w:val="0"/>
  </w:num>
  <w:num w:numId="60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31B7"/>
    <w:rsid w:val="00096690"/>
    <w:rsid w:val="00096B44"/>
    <w:rsid w:val="000A6765"/>
    <w:rsid w:val="000B44C0"/>
    <w:rsid w:val="000B48A5"/>
    <w:rsid w:val="000B68FD"/>
    <w:rsid w:val="000C0FAD"/>
    <w:rsid w:val="000C6178"/>
    <w:rsid w:val="000C7F68"/>
    <w:rsid w:val="000D4B02"/>
    <w:rsid w:val="000D5D7F"/>
    <w:rsid w:val="000E26D9"/>
    <w:rsid w:val="000E7CA6"/>
    <w:rsid w:val="000F5F7C"/>
    <w:rsid w:val="000F7F84"/>
    <w:rsid w:val="0010203E"/>
    <w:rsid w:val="0010363D"/>
    <w:rsid w:val="00104052"/>
    <w:rsid w:val="00105757"/>
    <w:rsid w:val="00112F27"/>
    <w:rsid w:val="0012282A"/>
    <w:rsid w:val="00123C6F"/>
    <w:rsid w:val="00123FD9"/>
    <w:rsid w:val="00125151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87F6F"/>
    <w:rsid w:val="00191BC2"/>
    <w:rsid w:val="00192623"/>
    <w:rsid w:val="001938DD"/>
    <w:rsid w:val="00193BCC"/>
    <w:rsid w:val="00193EF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0D0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2EC8"/>
    <w:rsid w:val="003E348B"/>
    <w:rsid w:val="003E4A72"/>
    <w:rsid w:val="003F404D"/>
    <w:rsid w:val="003F4779"/>
    <w:rsid w:val="00400C1A"/>
    <w:rsid w:val="00403C89"/>
    <w:rsid w:val="00407DB2"/>
    <w:rsid w:val="00410DB4"/>
    <w:rsid w:val="00413490"/>
    <w:rsid w:val="00416A4A"/>
    <w:rsid w:val="00417420"/>
    <w:rsid w:val="00420471"/>
    <w:rsid w:val="0042452E"/>
    <w:rsid w:val="00431493"/>
    <w:rsid w:val="00432204"/>
    <w:rsid w:val="00432358"/>
    <w:rsid w:val="00450131"/>
    <w:rsid w:val="004510EC"/>
    <w:rsid w:val="0045269B"/>
    <w:rsid w:val="004533A2"/>
    <w:rsid w:val="00453F0F"/>
    <w:rsid w:val="00462585"/>
    <w:rsid w:val="00471086"/>
    <w:rsid w:val="004744B8"/>
    <w:rsid w:val="00475A6B"/>
    <w:rsid w:val="00475AE8"/>
    <w:rsid w:val="00481D26"/>
    <w:rsid w:val="00487CDE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151F"/>
    <w:rsid w:val="004E20D9"/>
    <w:rsid w:val="004E3504"/>
    <w:rsid w:val="004E74AC"/>
    <w:rsid w:val="004F0577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8F7"/>
    <w:rsid w:val="005729CC"/>
    <w:rsid w:val="00575014"/>
    <w:rsid w:val="005805FD"/>
    <w:rsid w:val="00591D95"/>
    <w:rsid w:val="00595E24"/>
    <w:rsid w:val="005A1452"/>
    <w:rsid w:val="005A2678"/>
    <w:rsid w:val="005A3161"/>
    <w:rsid w:val="005B1123"/>
    <w:rsid w:val="005B7C67"/>
    <w:rsid w:val="005C3215"/>
    <w:rsid w:val="005C4611"/>
    <w:rsid w:val="005C4FC3"/>
    <w:rsid w:val="005D0A46"/>
    <w:rsid w:val="005D18F7"/>
    <w:rsid w:val="005D3780"/>
    <w:rsid w:val="005E408B"/>
    <w:rsid w:val="005F3739"/>
    <w:rsid w:val="005F5339"/>
    <w:rsid w:val="0060099A"/>
    <w:rsid w:val="00604C11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1F17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28E2"/>
    <w:rsid w:val="00693372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3D79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C0678"/>
    <w:rsid w:val="007C0B79"/>
    <w:rsid w:val="007D0F76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40C87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1300"/>
    <w:rsid w:val="00882272"/>
    <w:rsid w:val="008847C7"/>
    <w:rsid w:val="00884B15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326A3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D41C6"/>
    <w:rsid w:val="009E0C25"/>
    <w:rsid w:val="009E511F"/>
    <w:rsid w:val="009E523E"/>
    <w:rsid w:val="009F0ED9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960C0"/>
    <w:rsid w:val="00A96897"/>
    <w:rsid w:val="00AA44A3"/>
    <w:rsid w:val="00AA5AB2"/>
    <w:rsid w:val="00AA5CC0"/>
    <w:rsid w:val="00AA5D5A"/>
    <w:rsid w:val="00AA605C"/>
    <w:rsid w:val="00AB179B"/>
    <w:rsid w:val="00AB1C88"/>
    <w:rsid w:val="00AD03C9"/>
    <w:rsid w:val="00AD20B6"/>
    <w:rsid w:val="00AD2F63"/>
    <w:rsid w:val="00AE2A20"/>
    <w:rsid w:val="00AE4896"/>
    <w:rsid w:val="00AE7993"/>
    <w:rsid w:val="00AF072F"/>
    <w:rsid w:val="00AF61A1"/>
    <w:rsid w:val="00AF6E74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440E"/>
    <w:rsid w:val="00B55DD9"/>
    <w:rsid w:val="00B61905"/>
    <w:rsid w:val="00B63E64"/>
    <w:rsid w:val="00B64CCD"/>
    <w:rsid w:val="00B73292"/>
    <w:rsid w:val="00B84D42"/>
    <w:rsid w:val="00B8730F"/>
    <w:rsid w:val="00B90E2F"/>
    <w:rsid w:val="00B93923"/>
    <w:rsid w:val="00B96669"/>
    <w:rsid w:val="00BA1E86"/>
    <w:rsid w:val="00BB2DDA"/>
    <w:rsid w:val="00BB3A58"/>
    <w:rsid w:val="00BB5206"/>
    <w:rsid w:val="00BB5BDB"/>
    <w:rsid w:val="00BC1F69"/>
    <w:rsid w:val="00BC520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5409"/>
    <w:rsid w:val="00CF6EC9"/>
    <w:rsid w:val="00CF6F50"/>
    <w:rsid w:val="00CF7512"/>
    <w:rsid w:val="00D00D2B"/>
    <w:rsid w:val="00D0114E"/>
    <w:rsid w:val="00D01E13"/>
    <w:rsid w:val="00D025FB"/>
    <w:rsid w:val="00D02D1C"/>
    <w:rsid w:val="00D10D68"/>
    <w:rsid w:val="00D25707"/>
    <w:rsid w:val="00D35225"/>
    <w:rsid w:val="00D4304E"/>
    <w:rsid w:val="00D47FE7"/>
    <w:rsid w:val="00D51417"/>
    <w:rsid w:val="00D5596E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812"/>
    <w:rsid w:val="00DA0967"/>
    <w:rsid w:val="00DA161B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DF5D6A"/>
    <w:rsid w:val="00E030F9"/>
    <w:rsid w:val="00E03497"/>
    <w:rsid w:val="00E12148"/>
    <w:rsid w:val="00E14BD6"/>
    <w:rsid w:val="00E1595C"/>
    <w:rsid w:val="00E17BCD"/>
    <w:rsid w:val="00E23A90"/>
    <w:rsid w:val="00E24F0B"/>
    <w:rsid w:val="00E26B06"/>
    <w:rsid w:val="00E307AC"/>
    <w:rsid w:val="00E30A5B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115E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A1497"/>
    <w:rsid w:val="00EA5562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41A06"/>
    <w:rsid w:val="00F434A5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D72A0"/>
    <w:rsid w:val="00FE3E27"/>
    <w:rsid w:val="00FF08C6"/>
    <w:rsid w:val="00FF0CAC"/>
    <w:rsid w:val="00FF26C9"/>
    <w:rsid w:val="00FF2E0B"/>
    <w:rsid w:val="00FF4C16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0C0"/>
    <w:pPr>
      <w:numPr>
        <w:numId w:val="59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jc w:val="both"/>
      <w:outlineLvl w:val="1"/>
    </w:pPr>
    <w:rPr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960C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0C0"/>
    <w:pPr>
      <w:numPr>
        <w:numId w:val="59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jc w:val="both"/>
      <w:outlineLvl w:val="1"/>
    </w:pPr>
    <w:rPr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960C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dzp@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9F30-10A0-4ED9-84C0-7A565ED5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A35B4943</Template>
  <TotalTime>10</TotalTime>
  <Pages>25</Pages>
  <Words>7923</Words>
  <Characters>47544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d.kozlowska</dc:creator>
  <cp:lastModifiedBy>Joanna Cierpisz</cp:lastModifiedBy>
  <cp:revision>3</cp:revision>
  <cp:lastPrinted>2016-04-25T10:03:00Z</cp:lastPrinted>
  <dcterms:created xsi:type="dcterms:W3CDTF">2016-04-25T09:59:00Z</dcterms:created>
  <dcterms:modified xsi:type="dcterms:W3CDTF">2016-04-25T10:09:00Z</dcterms:modified>
</cp:coreProperties>
</file>