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8A54BC" w:rsidP="007E2FE4">
            <w:r>
              <w:rPr>
                <w:noProof/>
                <w:lang w:eastAsia="pl-PL"/>
              </w:rPr>
              <w:drawing>
                <wp:anchor distT="0" distB="0" distL="114300" distR="114300" simplePos="0" relativeHeight="251659264" behindDoc="1" locked="0" layoutInCell="1" allowOverlap="1" wp14:anchorId="66532C1E" wp14:editId="1FD06021">
                  <wp:simplePos x="0" y="0"/>
                  <wp:positionH relativeFrom="margin">
                    <wp:posOffset>104775</wp:posOffset>
                  </wp:positionH>
                  <wp:positionV relativeFrom="paragraph">
                    <wp:posOffset>173990</wp:posOffset>
                  </wp:positionV>
                  <wp:extent cx="857250" cy="5759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Strateg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75945"/>
                          </a:xfrm>
                          <a:prstGeom prst="rect">
                            <a:avLst/>
                          </a:prstGeom>
                        </pic:spPr>
                      </pic:pic>
                    </a:graphicData>
                  </a:graphic>
                  <wp14:sizeRelH relativeFrom="page">
                    <wp14:pctWidth>0</wp14:pctWidth>
                  </wp14:sizeRelH>
                  <wp14:sizeRelV relativeFrom="page">
                    <wp14:pctHeight>0</wp14:pctHeight>
                  </wp14:sizeRelV>
                </wp:anchor>
              </w:drawing>
            </w:r>
          </w:p>
        </w:tc>
        <w:tc>
          <w:tcPr>
            <w:tcW w:w="3001" w:type="dxa"/>
          </w:tcPr>
          <w:p w:rsidR="004E7A1F" w:rsidRPr="00682142" w:rsidRDefault="008A54BC" w:rsidP="007E2FE4">
            <w:pPr>
              <w:jc w:val="center"/>
              <w:rPr>
                <w:rFonts w:ascii="Arial" w:hAnsi="Arial" w:cs="Arial"/>
                <w:sz w:val="18"/>
                <w:szCs w:val="18"/>
              </w:rPr>
            </w:pPr>
            <w:r>
              <w:rPr>
                <w:noProof/>
                <w:lang w:eastAsia="pl-PL"/>
              </w:rPr>
              <w:drawing>
                <wp:anchor distT="0" distB="0" distL="114300" distR="114300" simplePos="0" relativeHeight="251661312" behindDoc="1" locked="0" layoutInCell="1" allowOverlap="1" wp14:anchorId="180494AD" wp14:editId="02C87DA7">
                  <wp:simplePos x="0" y="0"/>
                  <wp:positionH relativeFrom="margin">
                    <wp:posOffset>361950</wp:posOffset>
                  </wp:positionH>
                  <wp:positionV relativeFrom="paragraph">
                    <wp:posOffset>171450</wp:posOffset>
                  </wp:positionV>
                  <wp:extent cx="1073150" cy="57594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nova_logo-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3150" cy="575945"/>
                          </a:xfrm>
                          <a:prstGeom prst="rect">
                            <a:avLst/>
                          </a:prstGeom>
                        </pic:spPr>
                      </pic:pic>
                    </a:graphicData>
                  </a:graphic>
                  <wp14:sizeRelH relativeFrom="page">
                    <wp14:pctWidth>0</wp14:pctWidth>
                  </wp14:sizeRelH>
                  <wp14:sizeRelV relativeFrom="page">
                    <wp14:pctHeight>0</wp14:pctHeight>
                  </wp14:sizeRelV>
                </wp:anchor>
              </w:drawing>
            </w:r>
          </w:p>
        </w:tc>
        <w:tc>
          <w:tcPr>
            <w:tcW w:w="2796" w:type="dxa"/>
          </w:tcPr>
          <w:p w:rsidR="004E7A1F" w:rsidRPr="00682142" w:rsidRDefault="008A54BC" w:rsidP="007E2FE4">
            <w:pPr>
              <w:jc w:val="right"/>
            </w:pPr>
            <w:r>
              <w:rPr>
                <w:noProof/>
                <w:lang w:eastAsia="pl-PL"/>
              </w:rPr>
              <w:drawing>
                <wp:anchor distT="0" distB="0" distL="114300" distR="114300" simplePos="0" relativeHeight="251663360" behindDoc="1" locked="0" layoutInCell="1" allowOverlap="1" wp14:anchorId="60892A1C" wp14:editId="09216818">
                  <wp:simplePos x="0" y="0"/>
                  <wp:positionH relativeFrom="margin">
                    <wp:posOffset>204470</wp:posOffset>
                  </wp:positionH>
                  <wp:positionV relativeFrom="margin">
                    <wp:posOffset>175260</wp:posOffset>
                  </wp:positionV>
                  <wp:extent cx="1555115" cy="57594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555115" cy="575945"/>
                          </a:xfrm>
                          <a:prstGeom prst="rect">
                            <a:avLst/>
                          </a:prstGeom>
                        </pic:spPr>
                      </pic:pic>
                    </a:graphicData>
                  </a:graphic>
                  <wp14:sizeRelH relativeFrom="page">
                    <wp14:pctWidth>0</wp14:pctWidth>
                  </wp14:sizeRelH>
                  <wp14:sizeRelV relativeFrom="page">
                    <wp14:pctHeight>0</wp14:pctHeight>
                  </wp14:sizeRelV>
                </wp:anchor>
              </w:drawing>
            </w:r>
          </w:p>
        </w:tc>
      </w:tr>
    </w:tbl>
    <w:p w:rsidR="00733D51" w:rsidRPr="00DA542D" w:rsidRDefault="008A54BC">
      <w:r>
        <w:t xml:space="preserve">                                                                                                                                                                                      </w:t>
      </w:r>
    </w:p>
    <w:p w:rsidR="004134E2" w:rsidRPr="00DA542D" w:rsidRDefault="004134E2" w:rsidP="004134E2">
      <w:pPr>
        <w:tabs>
          <w:tab w:val="left" w:pos="4020"/>
        </w:tabs>
        <w:jc w:val="right"/>
        <w:rPr>
          <w:sz w:val="16"/>
          <w:szCs w:val="16"/>
        </w:rPr>
      </w:pPr>
    </w:p>
    <w:p w:rsidR="004134E2" w:rsidRPr="00FE7849" w:rsidRDefault="00FE7849" w:rsidP="00FE7849">
      <w:pPr>
        <w:spacing w:line="360" w:lineRule="auto"/>
        <w:jc w:val="center"/>
        <w:rPr>
          <w:rFonts w:ascii="Arial" w:hAnsi="Arial" w:cs="Arial"/>
          <w:b/>
          <w:i/>
          <w:sz w:val="20"/>
          <w:szCs w:val="20"/>
        </w:rPr>
      </w:pPr>
      <w:r w:rsidRPr="00FE7849">
        <w:rPr>
          <w:rFonts w:ascii="Arial" w:hAnsi="Arial" w:cs="Arial"/>
          <w:b/>
          <w:i/>
          <w:sz w:val="20"/>
          <w:szCs w:val="20"/>
        </w:rPr>
        <w:t>Modyfikacja pkt. X w dniu 26.04.2016 r.</w:t>
      </w:r>
    </w:p>
    <w:p w:rsidR="008A54BC" w:rsidRPr="00DA542D" w:rsidRDefault="008A54BC"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51695C">
        <w:rPr>
          <w:rFonts w:ascii="Arial" w:hAnsi="Arial" w:cs="Arial"/>
          <w:sz w:val="20"/>
          <w:szCs w:val="20"/>
        </w:rPr>
        <w:t>stacji izolacji białek z wyposażeniem</w:t>
      </w:r>
      <w:r w:rsidR="00203547">
        <w:rPr>
          <w:rFonts w:ascii="Arial" w:hAnsi="Arial" w:cs="Arial"/>
          <w:sz w:val="20"/>
          <w:szCs w:val="20"/>
        </w:rPr>
        <w:t xml:space="preserve"> </w:t>
      </w:r>
      <w:r w:rsidR="00F2799B">
        <w:rPr>
          <w:rFonts w:ascii="Arial" w:hAnsi="Arial" w:cs="Arial"/>
          <w:sz w:val="20"/>
          <w:szCs w:val="20"/>
        </w:rPr>
        <w:t xml:space="preserve">dla </w:t>
      </w:r>
      <w:r w:rsidR="0051695C">
        <w:rPr>
          <w:rFonts w:ascii="Arial" w:hAnsi="Arial" w:cs="Arial"/>
          <w:sz w:val="20"/>
          <w:szCs w:val="20"/>
        </w:rPr>
        <w:t>Wydziału Chemii</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6E7C20">
        <w:rPr>
          <w:rFonts w:ascii="Arial" w:hAnsi="Arial" w:cs="Arial"/>
          <w:sz w:val="20"/>
          <w:szCs w:val="20"/>
        </w:rPr>
        <w:t>15.04.2016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6E7C20">
        <w:rPr>
          <w:rStyle w:val="text"/>
        </w:rPr>
        <w:t>41925 - 2016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6E7C20">
        <w:rPr>
          <w:rStyle w:val="text"/>
        </w:rPr>
        <w:t xml:space="preserve">15.04.2016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w:t>
      </w:r>
      <w:r w:rsidR="006E7C20">
        <w:rPr>
          <w:rFonts w:ascii="Arial" w:hAnsi="Arial" w:cs="Arial"/>
          <w:sz w:val="20"/>
          <w:szCs w:val="20"/>
        </w:rPr>
        <w:t>internetowej Zamawiającego dnia 15.04.2016</w:t>
      </w:r>
      <w:r w:rsidR="006E7C20">
        <w:rPr>
          <w:rStyle w:val="text"/>
        </w:rPr>
        <w:t xml:space="preserve">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B13354" w:rsidRPr="00CF3044" w:rsidRDefault="00B13354" w:rsidP="00B13354">
      <w:pPr>
        <w:pStyle w:val="Stopka"/>
        <w:tabs>
          <w:tab w:val="left" w:pos="2742"/>
        </w:tabs>
        <w:jc w:val="center"/>
        <w:rPr>
          <w:sz w:val="18"/>
        </w:rPr>
      </w:pPr>
      <w:r w:rsidRPr="00CF3044">
        <w:rPr>
          <w:sz w:val="18"/>
        </w:rPr>
        <w:t>Projekt pt. „Nowe technologie farmakologicznej stymulacji regeneracji” (akronim REGENNOVA)</w:t>
      </w:r>
    </w:p>
    <w:p w:rsidR="00B13354" w:rsidRPr="00CF3044" w:rsidRDefault="00B13354" w:rsidP="00B13354">
      <w:pPr>
        <w:pStyle w:val="Stopka"/>
        <w:tabs>
          <w:tab w:val="left" w:pos="2742"/>
        </w:tabs>
        <w:jc w:val="center"/>
        <w:rPr>
          <w:sz w:val="18"/>
        </w:rPr>
      </w:pPr>
      <w:r w:rsidRPr="00CF3044">
        <w:rPr>
          <w:sz w:val="18"/>
        </w:rPr>
        <w:t xml:space="preserve">realizowany w ramach programu strategicznego  „PROFILAKTYKA I </w:t>
      </w:r>
      <w:r>
        <w:rPr>
          <w:sz w:val="18"/>
        </w:rPr>
        <w:t>LECZENIE CHORÓB CYWILIZACYJNYCH</w:t>
      </w:r>
      <w:r w:rsidRPr="00CF3044">
        <w:rPr>
          <w:sz w:val="18"/>
        </w:rPr>
        <w:t xml:space="preserve"> – STRATEGMED”</w:t>
      </w:r>
    </w:p>
    <w:p w:rsidR="00B13354" w:rsidRPr="00376BC1" w:rsidRDefault="00B13354" w:rsidP="00B13354">
      <w:pPr>
        <w:pStyle w:val="Stopka"/>
        <w:tabs>
          <w:tab w:val="clear" w:pos="4536"/>
          <w:tab w:val="clear" w:pos="9072"/>
          <w:tab w:val="left" w:pos="2742"/>
        </w:tabs>
        <w:jc w:val="center"/>
        <w:rPr>
          <w:sz w:val="18"/>
        </w:rPr>
      </w:pPr>
      <w:r w:rsidRPr="00CF3044">
        <w:rPr>
          <w:sz w:val="18"/>
        </w:rPr>
        <w:t>umowa nr STRATEGMED1/235077/9/NCBR/2014</w:t>
      </w: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FE7849">
          <w:rPr>
            <w:noProof/>
            <w:webHidden/>
          </w:rPr>
          <w:t>3</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Pr>
            <w:noProof/>
            <w:webHidden/>
          </w:rPr>
          <w:t>8</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Pr>
            <w:noProof/>
            <w:webHidden/>
          </w:rPr>
          <w:t>9</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w:t>
        </w:r>
        <w:r w:rsidR="00531D9A" w:rsidRPr="00790344">
          <w:rPr>
            <w:rStyle w:val="Hipercze"/>
            <w:noProof/>
          </w:rPr>
          <w:t xml:space="preserve"> </w:t>
        </w:r>
        <w:r w:rsidR="00531D9A" w:rsidRPr="00790344">
          <w:rPr>
            <w:rStyle w:val="Hipercze"/>
            <w:noProof/>
          </w:rPr>
          <w:t>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Pr>
            <w:noProof/>
            <w:webHidden/>
          </w:rPr>
          <w:t>14</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Pr>
            <w:noProof/>
            <w:webHidden/>
          </w:rPr>
          <w:t>14</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Pr>
            <w:noProof/>
            <w:webHidden/>
          </w:rPr>
          <w:t>15</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Pr>
            <w:noProof/>
            <w:webHidden/>
          </w:rPr>
          <w:t>16</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Pr>
            <w:noProof/>
            <w:webHidden/>
          </w:rPr>
          <w:t>20</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Pr>
            <w:noProof/>
            <w:webHidden/>
          </w:rPr>
          <w:t>20</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Pr>
            <w:noProof/>
            <w:webHidden/>
          </w:rPr>
          <w:t>21</w:t>
        </w:r>
        <w:r w:rsidR="00531D9A">
          <w:rPr>
            <w:noProof/>
            <w:webHidden/>
          </w:rPr>
          <w:fldChar w:fldCharType="end"/>
        </w:r>
      </w:hyperlink>
    </w:p>
    <w:p w:rsidR="00531D9A" w:rsidRDefault="00FE7849">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9268FD">
        <w:rPr>
          <w:rFonts w:ascii="Arial" w:hAnsi="Arial" w:cs="Arial"/>
          <w:sz w:val="20"/>
          <w:szCs w:val="20"/>
        </w:rPr>
        <w:t>stacji izolacji białek z wyposażeniem</w:t>
      </w:r>
      <w:r w:rsidR="00380813">
        <w:rPr>
          <w:rFonts w:ascii="Arial" w:hAnsi="Arial" w:cs="Arial"/>
          <w:sz w:val="20"/>
          <w:szCs w:val="20"/>
        </w:rPr>
        <w:t>, zwane</w:t>
      </w:r>
      <w:r w:rsidR="009268FD">
        <w:rPr>
          <w:rFonts w:ascii="Arial" w:hAnsi="Arial" w:cs="Arial"/>
          <w:sz w:val="20"/>
          <w:szCs w:val="20"/>
        </w:rPr>
        <w:t>j</w:t>
      </w:r>
      <w:r w:rsidR="00380813">
        <w:rPr>
          <w:rFonts w:ascii="Arial" w:hAnsi="Arial" w:cs="Arial"/>
          <w:sz w:val="20"/>
          <w:szCs w:val="20"/>
        </w:rPr>
        <w:t xml:space="preserve"> dalej sprzętem,</w:t>
      </w:r>
      <w:r w:rsidR="00FF372E" w:rsidRPr="00FF372E">
        <w:rPr>
          <w:rFonts w:ascii="Arial" w:hAnsi="Arial" w:cs="Arial"/>
          <w:sz w:val="20"/>
          <w:szCs w:val="20"/>
        </w:rPr>
        <w:t xml:space="preserve"> </w:t>
      </w:r>
      <w:r w:rsidR="00DC411D" w:rsidRPr="00FF372E">
        <w:rPr>
          <w:rFonts w:ascii="Arial" w:hAnsi="Arial" w:cs="Arial"/>
          <w:sz w:val="20"/>
          <w:szCs w:val="20"/>
        </w:rPr>
        <w:t xml:space="preserve">dla </w:t>
      </w:r>
      <w:r w:rsidR="009268FD">
        <w:rPr>
          <w:rFonts w:ascii="Arial" w:hAnsi="Arial" w:cs="Arial"/>
          <w:sz w:val="20"/>
          <w:szCs w:val="20"/>
        </w:rPr>
        <w:t>Wydziału Chemii</w:t>
      </w:r>
      <w:r w:rsidR="00B24AAC">
        <w:rPr>
          <w:rFonts w:ascii="Arial" w:hAnsi="Arial" w:cs="Arial"/>
          <w:sz w:val="20"/>
          <w:szCs w:val="20"/>
        </w:rPr>
        <w:t xml:space="preserve">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9268FD">
        <w:rPr>
          <w:rFonts w:ascii="Arial" w:hAnsi="Arial" w:cs="Arial"/>
          <w:bCs/>
          <w:sz w:val="20"/>
          <w:szCs w:val="20"/>
        </w:rPr>
        <w:t>Wydział Chemii Uniwersytetu Gdańskiego</w:t>
      </w:r>
      <w:r w:rsidR="00B24AAC">
        <w:rPr>
          <w:rFonts w:ascii="Arial" w:hAnsi="Arial" w:cs="Arial"/>
          <w:bCs/>
          <w:sz w:val="20"/>
          <w:szCs w:val="20"/>
        </w:rPr>
        <w:t xml:space="preserve">, </w:t>
      </w:r>
      <w:r w:rsidR="002D1396">
        <w:rPr>
          <w:rFonts w:ascii="Arial" w:hAnsi="Arial" w:cs="Arial"/>
          <w:bCs/>
          <w:sz w:val="20"/>
          <w:szCs w:val="20"/>
        </w:rPr>
        <w:t>80-30</w:t>
      </w:r>
      <w:r w:rsidR="009268FD">
        <w:rPr>
          <w:rFonts w:ascii="Arial" w:hAnsi="Arial" w:cs="Arial"/>
          <w:bCs/>
          <w:sz w:val="20"/>
          <w:szCs w:val="20"/>
        </w:rPr>
        <w:t>8</w:t>
      </w:r>
      <w:r w:rsidR="002D1396">
        <w:rPr>
          <w:rFonts w:ascii="Arial" w:hAnsi="Arial" w:cs="Arial"/>
          <w:bCs/>
          <w:sz w:val="20"/>
          <w:szCs w:val="20"/>
        </w:rPr>
        <w:t xml:space="preserve"> Gdańsk, ul. </w:t>
      </w:r>
      <w:r w:rsidR="009268FD">
        <w:rPr>
          <w:rFonts w:ascii="Arial" w:hAnsi="Arial" w:cs="Arial"/>
          <w:bCs/>
          <w:sz w:val="20"/>
          <w:szCs w:val="20"/>
        </w:rPr>
        <w:t>Wita Stwosza</w:t>
      </w:r>
      <w:r w:rsidR="00B24AAC">
        <w:rPr>
          <w:rFonts w:ascii="Arial" w:hAnsi="Arial" w:cs="Arial"/>
          <w:bCs/>
          <w:sz w:val="20"/>
          <w:szCs w:val="20"/>
        </w:rPr>
        <w:t xml:space="preserve"> </w:t>
      </w:r>
      <w:r w:rsidR="009268FD">
        <w:rPr>
          <w:rFonts w:ascii="Arial" w:hAnsi="Arial" w:cs="Arial"/>
          <w:bCs/>
          <w:sz w:val="20"/>
          <w:szCs w:val="20"/>
        </w:rPr>
        <w:t>63</w:t>
      </w:r>
      <w:r w:rsidR="002D1396">
        <w:rPr>
          <w:rFonts w:ascii="Arial" w:hAnsi="Arial" w:cs="Arial"/>
          <w:bCs/>
          <w:sz w:val="20"/>
          <w:szCs w:val="20"/>
        </w:rPr>
        <w:t xml:space="preserve"> pok.</w:t>
      </w:r>
      <w:r w:rsidR="00B24AAC">
        <w:rPr>
          <w:rFonts w:ascii="Arial" w:hAnsi="Arial" w:cs="Arial"/>
          <w:bCs/>
          <w:sz w:val="20"/>
          <w:szCs w:val="20"/>
        </w:rPr>
        <w:t xml:space="preserve"> </w:t>
      </w:r>
      <w:r w:rsidR="009268FD">
        <w:rPr>
          <w:rFonts w:ascii="Arial" w:hAnsi="Arial" w:cs="Arial"/>
          <w:bCs/>
          <w:sz w:val="20"/>
          <w:szCs w:val="20"/>
        </w:rPr>
        <w:t>G243</w:t>
      </w:r>
      <w:r>
        <w:rPr>
          <w:sz w:val="20"/>
          <w:szCs w:val="20"/>
        </w:rPr>
        <w:t>.</w:t>
      </w:r>
    </w:p>
    <w:p w:rsidR="005D6273" w:rsidRP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2D1396" w:rsidRPr="002D1396" w:rsidRDefault="00B24AAC" w:rsidP="00C57FC2">
      <w:pPr>
        <w:pStyle w:val="Akapitzlist"/>
        <w:numPr>
          <w:ilvl w:val="3"/>
          <w:numId w:val="41"/>
        </w:numPr>
        <w:tabs>
          <w:tab w:val="clear" w:pos="2880"/>
        </w:tabs>
        <w:spacing w:line="360" w:lineRule="auto"/>
        <w:ind w:left="709" w:hanging="425"/>
        <w:jc w:val="both"/>
        <w:rPr>
          <w:rFonts w:ascii="Arial" w:hAnsi="Arial" w:cs="Arial"/>
          <w:sz w:val="20"/>
          <w:szCs w:val="20"/>
        </w:rPr>
      </w:pPr>
      <w:r>
        <w:rPr>
          <w:rFonts w:ascii="Arial" w:hAnsi="Arial" w:cs="Arial"/>
          <w:sz w:val="20"/>
          <w:szCs w:val="20"/>
        </w:rPr>
        <w:t>12 miesię</w:t>
      </w:r>
      <w:r w:rsidRPr="002D1396">
        <w:rPr>
          <w:rFonts w:ascii="Arial" w:hAnsi="Arial" w:cs="Arial"/>
          <w:sz w:val="20"/>
          <w:szCs w:val="20"/>
        </w:rPr>
        <w:t>c</w:t>
      </w:r>
      <w:r>
        <w:rPr>
          <w:rFonts w:ascii="Arial" w:hAnsi="Arial" w:cs="Arial"/>
          <w:sz w:val="20"/>
          <w:szCs w:val="20"/>
        </w:rPr>
        <w:t>y</w:t>
      </w:r>
      <w:r w:rsidR="0054406F">
        <w:rPr>
          <w:rFonts w:ascii="Arial" w:hAnsi="Arial" w:cs="Arial"/>
          <w:sz w:val="20"/>
          <w:szCs w:val="20"/>
        </w:rPr>
        <w:t>,</w:t>
      </w:r>
    </w:p>
    <w:p w:rsidR="004134E2" w:rsidRPr="00F2799B" w:rsidRDefault="000265F4" w:rsidP="00C57FC2">
      <w:pPr>
        <w:numPr>
          <w:ilvl w:val="3"/>
          <w:numId w:val="41"/>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w:t>
      </w:r>
      <w:r w:rsidR="00CA4613">
        <w:rPr>
          <w:rFonts w:ascii="Arial" w:hAnsi="Arial" w:cs="Arial"/>
          <w:sz w:val="20"/>
          <w:szCs w:val="20"/>
        </w:rPr>
        <w:t>a</w:t>
      </w:r>
      <w:r w:rsidRPr="00F2799B">
        <w:rPr>
          <w:rFonts w:ascii="Arial" w:hAnsi="Arial" w:cs="Arial"/>
          <w:sz w:val="20"/>
          <w:szCs w:val="20"/>
        </w:rPr>
        <w:t xml:space="preserve"> nr </w:t>
      </w:r>
      <w:r w:rsidR="00A15BC0" w:rsidRPr="00F2799B">
        <w:rPr>
          <w:rFonts w:ascii="Arial" w:hAnsi="Arial" w:cs="Arial"/>
          <w:sz w:val="20"/>
          <w:szCs w:val="20"/>
        </w:rPr>
        <w:t>5</w:t>
      </w:r>
      <w:r w:rsidRPr="00F2799B">
        <w:rPr>
          <w:rFonts w:ascii="Arial" w:hAnsi="Arial" w:cs="Arial"/>
          <w:sz w:val="20"/>
          <w:szCs w:val="20"/>
        </w:rPr>
        <w:t xml:space="preserve"> do SIWZ – projekt</w:t>
      </w:r>
      <w:r w:rsidR="00CA4613">
        <w:rPr>
          <w:rFonts w:ascii="Arial" w:hAnsi="Arial" w:cs="Arial"/>
          <w:sz w:val="20"/>
          <w:szCs w:val="20"/>
        </w:rPr>
        <w:t>u</w:t>
      </w:r>
      <w:r w:rsidRPr="00F2799B">
        <w:rPr>
          <w:rFonts w:ascii="Arial" w:hAnsi="Arial" w:cs="Arial"/>
          <w:sz w:val="20"/>
          <w:szCs w:val="20"/>
        </w:rPr>
        <w:t xml:space="preserve">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w:t>
      </w:r>
      <w:r w:rsidR="009A4B8D">
        <w:rPr>
          <w:rFonts w:ascii="Arial" w:hAnsi="Arial" w:cs="Arial"/>
          <w:sz w:val="20"/>
          <w:szCs w:val="20"/>
        </w:rPr>
        <w:br/>
      </w:r>
      <w:r w:rsidR="00800F05" w:rsidRPr="00800F05">
        <w:rPr>
          <w:rFonts w:ascii="Arial" w:hAnsi="Arial" w:cs="Arial"/>
          <w:sz w:val="20"/>
          <w:szCs w:val="20"/>
        </w:rPr>
        <w:t xml:space="preserve">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wraz z instalacją potwierdzoną</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268FD">
        <w:rPr>
          <w:rFonts w:ascii="Arial" w:hAnsi="Arial" w:cs="Arial"/>
          <w:sz w:val="20"/>
          <w:szCs w:val="20"/>
        </w:rPr>
        <w:br/>
      </w:r>
      <w:r w:rsidR="00CB1CA6">
        <w:rPr>
          <w:rFonts w:ascii="Arial" w:hAnsi="Arial" w:cs="Arial"/>
          <w:sz w:val="20"/>
          <w:szCs w:val="20"/>
        </w:rPr>
        <w:t xml:space="preserve">do </w:t>
      </w:r>
      <w:r w:rsidR="00B24AAC">
        <w:rPr>
          <w:rFonts w:ascii="Arial" w:hAnsi="Arial" w:cs="Arial"/>
          <w:sz w:val="20"/>
          <w:szCs w:val="20"/>
        </w:rPr>
        <w:t>6</w:t>
      </w:r>
      <w:r w:rsidR="009268FD">
        <w:rPr>
          <w:rFonts w:ascii="Arial" w:hAnsi="Arial" w:cs="Arial"/>
          <w:sz w:val="20"/>
          <w:szCs w:val="20"/>
        </w:rPr>
        <w:t xml:space="preserve"> tygodni</w:t>
      </w:r>
      <w:r w:rsidR="00B24AAC">
        <w:rPr>
          <w:rFonts w:ascii="Arial" w:hAnsi="Arial" w:cs="Arial"/>
          <w:sz w:val="20"/>
          <w:szCs w:val="20"/>
        </w:rPr>
        <w:t xml:space="preserve"> </w:t>
      </w:r>
      <w:r w:rsidR="00CF30A0">
        <w:rPr>
          <w:rFonts w:ascii="Arial" w:hAnsi="Arial" w:cs="Arial"/>
          <w:sz w:val="20"/>
          <w:szCs w:val="20"/>
        </w:rPr>
        <w:t>od dnia zawarcia umowy</w:t>
      </w:r>
      <w:r w:rsidR="00645512">
        <w:rPr>
          <w:rFonts w:ascii="Arial" w:hAnsi="Arial" w:cs="Arial"/>
          <w:sz w:val="20"/>
          <w:szCs w:val="20"/>
        </w:rPr>
        <w:t xml:space="preserve"> </w:t>
      </w:r>
      <w:r w:rsidR="00645512" w:rsidRPr="002D1396">
        <w:rPr>
          <w:rFonts w:ascii="Arial" w:hAnsi="Arial" w:cs="Arial"/>
          <w:sz w:val="20"/>
          <w:szCs w:val="20"/>
        </w:rPr>
        <w:t xml:space="preserve">(Wykonawca może zaproponować </w:t>
      </w:r>
      <w:r w:rsidR="00645512">
        <w:rPr>
          <w:rFonts w:ascii="Arial" w:hAnsi="Arial" w:cs="Arial"/>
          <w:sz w:val="20"/>
          <w:szCs w:val="20"/>
        </w:rPr>
        <w:t>krótszy termin realizacji zamówienia: Rozd</w:t>
      </w:r>
      <w:r w:rsidR="00645512" w:rsidRPr="002D1396">
        <w:rPr>
          <w:rFonts w:ascii="Arial" w:hAnsi="Arial" w:cs="Arial"/>
          <w:sz w:val="20"/>
          <w:szCs w:val="20"/>
        </w:rPr>
        <w:t xml:space="preserve">ział XII SIWZ – </w:t>
      </w:r>
      <w:r w:rsidR="00645512">
        <w:rPr>
          <w:rFonts w:ascii="Arial" w:hAnsi="Arial" w:cs="Arial"/>
          <w:sz w:val="20"/>
          <w:szCs w:val="20"/>
        </w:rPr>
        <w:t>termin realizacji</w:t>
      </w:r>
      <w:r w:rsidR="00645512" w:rsidRPr="002D1396">
        <w:rPr>
          <w:rFonts w:ascii="Arial" w:hAnsi="Arial" w:cs="Arial"/>
          <w:sz w:val="20"/>
          <w:szCs w:val="20"/>
        </w:rPr>
        <w:t xml:space="preserve"> jest jednym z kryteriów oceny ofert</w:t>
      </w:r>
      <w:r w:rsidR="00A62E9A">
        <w:rPr>
          <w:rFonts w:ascii="Arial" w:hAnsi="Arial" w:cs="Arial"/>
          <w:sz w:val="20"/>
          <w:szCs w:val="20"/>
        </w:rPr>
        <w:t>).</w:t>
      </w:r>
    </w:p>
    <w:p w:rsidR="00FF372E" w:rsidRDefault="00FF372E">
      <w:pPr>
        <w:rPr>
          <w:rFonts w:ascii="Arial" w:hAnsi="Arial" w:cs="Arial"/>
          <w:sz w:val="20"/>
          <w:szCs w:val="20"/>
        </w:rPr>
      </w:pPr>
      <w:r>
        <w:rPr>
          <w:rFonts w:ascii="Arial" w:hAnsi="Arial" w:cs="Arial"/>
          <w:sz w:val="20"/>
          <w:szCs w:val="20"/>
        </w:rPr>
        <w:br w:type="page"/>
      </w: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w:t>
      </w:r>
      <w:r w:rsidRPr="00DA542D">
        <w:rPr>
          <w:rFonts w:ascii="Arial" w:hAnsi="Arial" w:cs="Arial"/>
          <w:i/>
          <w:sz w:val="20"/>
          <w:szCs w:val="20"/>
        </w:rPr>
        <w:lastRenderedPageBreak/>
        <w:t xml:space="preserve">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lastRenderedPageBreak/>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w:t>
      </w:r>
      <w:r w:rsidRPr="001A333B">
        <w:rPr>
          <w:rFonts w:ascii="Arial" w:eastAsia="Times New Roman" w:hAnsi="Arial" w:cs="Arial"/>
          <w:sz w:val="20"/>
          <w:szCs w:val="20"/>
          <w:lang w:eastAsia="ar-SA"/>
        </w:rPr>
        <w:lastRenderedPageBreak/>
        <w:t xml:space="preserve">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lastRenderedPageBreak/>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5"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lastRenderedPageBreak/>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002C45"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1.000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jeden tysiąc</w:t>
      </w:r>
      <w:r w:rsidR="00C57FC2" w:rsidRPr="001B4A84">
        <w:rPr>
          <w:rFonts w:ascii="Arial" w:eastAsia="Times New Roman" w:hAnsi="Arial" w:cs="Arial"/>
          <w:sz w:val="20"/>
          <w:szCs w:val="20"/>
          <w:lang w:eastAsia="ar-SA"/>
        </w:rPr>
        <w:t xml:space="preserve"> złotych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lastRenderedPageBreak/>
        <w:t xml:space="preserve">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F07B5C">
        <w:rPr>
          <w:rFonts w:ascii="Arial" w:eastAsia="Times New Roman" w:hAnsi="Arial" w:cs="Arial"/>
          <w:b/>
          <w:bCs/>
          <w:sz w:val="20"/>
          <w:szCs w:val="20"/>
          <w:lang w:eastAsia="ar-SA"/>
        </w:rPr>
        <w:t>47</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A36D95">
      <w:pPr>
        <w:numPr>
          <w:ilvl w:val="0"/>
          <w:numId w:val="44"/>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DD46A1">
      <w:pPr>
        <w:numPr>
          <w:ilvl w:val="0"/>
          <w:numId w:val="5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A36D95">
      <w:pPr>
        <w:numPr>
          <w:ilvl w:val="0"/>
          <w:numId w:val="44"/>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DD46A1">
      <w:pPr>
        <w:numPr>
          <w:ilvl w:val="0"/>
          <w:numId w:val="58"/>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Z zastrzeżeniem art. 46 ust. 4a ustawy, Zamawiający zwraca niezwłocznie wadium </w:t>
      </w:r>
      <w:r w:rsidRPr="001B4A84">
        <w:rPr>
          <w:rFonts w:ascii="Arial" w:eastAsia="Times New Roman" w:hAnsi="Arial" w:cs="Arial"/>
          <w:sz w:val="20"/>
          <w:szCs w:val="20"/>
          <w:lang w:eastAsia="ar-SA"/>
        </w:rPr>
        <w:br/>
        <w:t>na pisemny wniosek Wykonawcy:</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który wycofał ofertę przed upływem terminu składania ofert,</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który został wykluczony z postępowania, </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którego oferta została odrzucona.</w:t>
      </w:r>
    </w:p>
    <w:p w:rsidR="00C57FC2" w:rsidRPr="001B4A84" w:rsidRDefault="00C57FC2" w:rsidP="00DD46A1">
      <w:pPr>
        <w:numPr>
          <w:ilvl w:val="0"/>
          <w:numId w:val="48"/>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 xml:space="preserve">oszty </w:t>
      </w:r>
      <w:r w:rsidRPr="001B4A84">
        <w:rPr>
          <w:rFonts w:ascii="Arial" w:eastAsia="Times New Roman" w:hAnsi="Arial" w:cs="Arial"/>
          <w:sz w:val="20"/>
          <w:szCs w:val="20"/>
          <w:lang w:eastAsia="ar-SA"/>
        </w:rPr>
        <w:lastRenderedPageBreak/>
        <w:t>prowadzenia rachunku bankowego oraz prowizji bankowej za przelew pieniędzy na rachunek bankowy Wykonawcy.</w:t>
      </w:r>
    </w:p>
    <w:p w:rsidR="00C57FC2" w:rsidRPr="001B4A84" w:rsidRDefault="00C57FC2" w:rsidP="00DD46A1">
      <w:pPr>
        <w:numPr>
          <w:ilvl w:val="0"/>
          <w:numId w:val="44"/>
        </w:numPr>
        <w:tabs>
          <w:tab w:val="num" w:pos="-556"/>
          <w:tab w:val="left" w:pos="0"/>
          <w:tab w:val="num" w:pos="709"/>
        </w:tabs>
        <w:spacing w:line="360" w:lineRule="auto"/>
        <w:ind w:left="284" w:hanging="284"/>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przypadku przedłużenia okresu związania ofertą, Wykonawca musi jednocześnie przedłużyć okres ważności wadium albo jeżeli nie jest to możliwe wnieść nowe wadium na</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przedłużony okres związania ofertą.</w:t>
      </w:r>
    </w:p>
    <w:p w:rsidR="00C57FC2" w:rsidRPr="001B4A84" w:rsidRDefault="00C57FC2" w:rsidP="00DD46A1">
      <w:pPr>
        <w:numPr>
          <w:ilvl w:val="0"/>
          <w:numId w:val="44"/>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C57FC2" w:rsidP="00DD46A1">
      <w:pPr>
        <w:numPr>
          <w:ilvl w:val="0"/>
          <w:numId w:val="59"/>
        </w:numPr>
        <w:tabs>
          <w:tab w:val="clear" w:pos="72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przedłużenie terminu związania ofertą jest dopuszczalne tylko z jednoczesnym przedłużeniem okresu ważności wadium, a jeśli nie jest to możliwe, z wniesieniem nowego wadium </w:t>
      </w:r>
      <w:r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Pr="001B4A84">
        <w:rPr>
          <w:rFonts w:ascii="Arial" w:eastAsia="Times New Roman" w:hAnsi="Arial" w:cs="Arial"/>
          <w:sz w:val="20"/>
          <w:szCs w:val="20"/>
          <w:lang w:eastAsia="ar-SA"/>
        </w:rPr>
        <w:br/>
        <w:t xml:space="preserve">lub przedłużenia jego ważności przez Wykonawcę, którego oferta została wybrana </w:t>
      </w:r>
      <w:r w:rsidRPr="001B4A84">
        <w:rPr>
          <w:rFonts w:ascii="Arial" w:eastAsia="Times New Roman" w:hAnsi="Arial" w:cs="Arial"/>
          <w:sz w:val="20"/>
          <w:szCs w:val="20"/>
          <w:lang w:eastAsia="ar-SA"/>
        </w:rPr>
        <w:br/>
        <w:t>jako najkorzystniejsza;</w:t>
      </w:r>
    </w:p>
    <w:p w:rsidR="00C57FC2" w:rsidRPr="001B4A84" w:rsidRDefault="00C57FC2" w:rsidP="00DD46A1">
      <w:pPr>
        <w:numPr>
          <w:ilvl w:val="0"/>
          <w:numId w:val="59"/>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4134E2" w:rsidRDefault="004134E2"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w:t>
      </w:r>
      <w:r w:rsidRPr="00DA542D">
        <w:rPr>
          <w:rFonts w:ascii="Arial" w:hAnsi="Arial" w:cs="Arial"/>
          <w:sz w:val="20"/>
          <w:szCs w:val="20"/>
        </w:rPr>
        <w:lastRenderedPageBreak/>
        <w:t>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473DDA">
              <w:rPr>
                <w:rFonts w:ascii="Arial" w:hAnsi="Arial" w:cs="Arial"/>
                <w:sz w:val="20"/>
                <w:szCs w:val="20"/>
              </w:rPr>
              <w:t>stacji izolacji białek z wyposażeniem dla Wydziału Chemii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473DDA">
              <w:rPr>
                <w:rFonts w:ascii="Arial" w:hAnsi="Arial" w:cs="Arial"/>
                <w:b/>
                <w:sz w:val="20"/>
                <w:szCs w:val="20"/>
              </w:rPr>
              <w:t>47</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FE7849">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FE7849">
              <w:rPr>
                <w:rFonts w:ascii="Arial" w:hAnsi="Arial" w:cs="Arial"/>
                <w:b/>
                <w:bCs/>
                <w:i/>
                <w:sz w:val="20"/>
                <w:szCs w:val="20"/>
              </w:rPr>
              <w:t>6 maja</w:t>
            </w:r>
            <w:r w:rsidR="00C46FE1">
              <w:rPr>
                <w:rFonts w:ascii="Arial" w:hAnsi="Arial" w:cs="Arial"/>
                <w:b/>
                <w:bCs/>
                <w:i/>
                <w:sz w:val="20"/>
                <w:szCs w:val="20"/>
              </w:rPr>
              <w:t xml:space="preserve">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w:t>
      </w:r>
      <w:r w:rsidRPr="00E51178">
        <w:rPr>
          <w:rFonts w:ascii="Arial" w:hAnsi="Arial" w:cs="Arial"/>
          <w:sz w:val="20"/>
          <w:szCs w:val="20"/>
        </w:rPr>
        <w:lastRenderedPageBreak/>
        <w:t xml:space="preserve">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bookmarkStart w:id="12" w:name="_GoBack"/>
      <w:bookmarkEnd w:id="12"/>
    </w:p>
    <w:p w:rsidR="004134E2" w:rsidRPr="00DA542D" w:rsidRDefault="004134E2" w:rsidP="00497A99">
      <w:pPr>
        <w:pStyle w:val="Nagwek1"/>
        <w:pBdr>
          <w:left w:val="single" w:sz="4" w:space="22" w:color="000000"/>
        </w:pBdr>
        <w:ind w:left="360"/>
      </w:pPr>
      <w:bookmarkStart w:id="13" w:name="_Toc430773610"/>
      <w:r w:rsidRPr="00DA542D">
        <w:t>X Miejsce oraz termin składania i otwarcia ofert</w:t>
      </w:r>
      <w:bookmarkEnd w:id="13"/>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FE7849">
        <w:rPr>
          <w:rFonts w:ascii="Arial" w:hAnsi="Arial" w:cs="Arial"/>
          <w:b/>
          <w:bCs/>
          <w:i/>
          <w:sz w:val="20"/>
          <w:szCs w:val="20"/>
        </w:rPr>
        <w:t>06.05</w:t>
      </w:r>
      <w:r w:rsidR="00C46FE1">
        <w:rPr>
          <w:rFonts w:ascii="Arial" w:hAnsi="Arial" w:cs="Arial"/>
          <w:b/>
          <w:bCs/>
          <w:i/>
          <w:sz w:val="20"/>
          <w:szCs w:val="20"/>
        </w:rPr>
        <w:t>.2016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FE7849">
        <w:rPr>
          <w:rFonts w:ascii="Arial" w:hAnsi="Arial" w:cs="Arial"/>
          <w:b/>
          <w:bCs/>
          <w:i/>
          <w:sz w:val="20"/>
          <w:szCs w:val="20"/>
        </w:rPr>
        <w:t>06.05</w:t>
      </w:r>
      <w:r w:rsidR="00C46FE1">
        <w:rPr>
          <w:rFonts w:ascii="Arial" w:hAnsi="Arial" w:cs="Arial"/>
          <w:b/>
          <w:bCs/>
          <w:i/>
          <w:sz w:val="20"/>
          <w:szCs w:val="20"/>
        </w:rPr>
        <w:t>.2016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30773611"/>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w:t>
      </w:r>
      <w:r w:rsidRPr="00D51202">
        <w:rPr>
          <w:rFonts w:ascii="Arial" w:hAnsi="Arial" w:cs="Arial"/>
          <w:sz w:val="20"/>
          <w:szCs w:val="20"/>
        </w:rPr>
        <w:lastRenderedPageBreak/>
        <w:t xml:space="preserve">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30773612"/>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473DDA">
        <w:rPr>
          <w:rFonts w:ascii="Arial" w:hAnsi="Arial" w:cs="Arial"/>
          <w:b/>
          <w:bCs/>
          <w:sz w:val="20"/>
          <w:szCs w:val="20"/>
        </w:rPr>
        <w:t>95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002C45"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 dostawy</w:t>
      </w:r>
      <w:r w:rsidR="004D27B3" w:rsidRPr="001B7C94">
        <w:rPr>
          <w:rFonts w:ascii="Arial" w:hAnsi="Arial" w:cs="Arial"/>
          <w:b/>
          <w:bCs/>
          <w:sz w:val="20"/>
          <w:szCs w:val="20"/>
        </w:rPr>
        <w:t xml:space="preserve"> – </w:t>
      </w:r>
      <w:r w:rsidR="00473DDA">
        <w:rPr>
          <w:rFonts w:ascii="Arial" w:hAnsi="Arial" w:cs="Arial"/>
          <w:b/>
          <w:bCs/>
          <w:sz w:val="20"/>
          <w:szCs w:val="20"/>
        </w:rPr>
        <w:t>5</w:t>
      </w:r>
      <w:r w:rsidR="004D27B3" w:rsidRPr="001B7C94">
        <w:rPr>
          <w:rFonts w:ascii="Arial" w:hAnsi="Arial" w:cs="Arial"/>
          <w:b/>
          <w:bCs/>
          <w:sz w:val="20"/>
          <w:szCs w:val="20"/>
        </w:rPr>
        <w:t xml:space="preserve"> %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112497">
        <w:rPr>
          <w:rFonts w:ascii="Arial" w:hAnsi="Arial" w:cs="Arial"/>
          <w:sz w:val="20"/>
          <w:szCs w:val="20"/>
        </w:rPr>
        <w:t>95</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Pr="005A47BF"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9</w:t>
      </w:r>
      <w:r w:rsidR="00473DDA">
        <w:rPr>
          <w:rFonts w:ascii="Arial" w:hAnsi="Arial" w:cs="Arial"/>
          <w:sz w:val="20"/>
          <w:szCs w:val="20"/>
        </w:rPr>
        <w:t>5</w:t>
      </w:r>
      <w:r w:rsidRPr="005A47BF">
        <w:rPr>
          <w:rFonts w:ascii="Arial" w:hAnsi="Arial" w:cs="Arial"/>
          <w:sz w:val="20"/>
          <w:szCs w:val="20"/>
        </w:rPr>
        <w:t>.</w:t>
      </w:r>
    </w:p>
    <w:p w:rsidR="00BE53D0" w:rsidRPr="006A6569" w:rsidRDefault="00002C45" w:rsidP="00BE53D0">
      <w:pPr>
        <w:pStyle w:val="Akapitzlist"/>
        <w:numPr>
          <w:ilvl w:val="2"/>
          <w:numId w:val="7"/>
        </w:numPr>
        <w:tabs>
          <w:tab w:val="clear" w:pos="3048"/>
        </w:tabs>
        <w:spacing w:line="360" w:lineRule="auto"/>
        <w:ind w:left="567" w:hanging="283"/>
        <w:jc w:val="both"/>
        <w:rPr>
          <w:rFonts w:ascii="Arial" w:hAnsi="Arial" w:cs="Arial"/>
          <w:sz w:val="20"/>
          <w:szCs w:val="20"/>
        </w:rPr>
      </w:pPr>
      <w:r w:rsidRPr="006A6569">
        <w:rPr>
          <w:rFonts w:ascii="Arial" w:hAnsi="Arial" w:cs="Arial"/>
          <w:sz w:val="20"/>
          <w:szCs w:val="20"/>
        </w:rPr>
        <w:t>Termin dostawy</w:t>
      </w:r>
      <w:r w:rsidR="00BE53D0" w:rsidRPr="006A6569">
        <w:rPr>
          <w:rFonts w:ascii="Arial" w:hAnsi="Arial" w:cs="Arial"/>
          <w:sz w:val="20"/>
          <w:szCs w:val="20"/>
        </w:rPr>
        <w:t xml:space="preserve"> P</w:t>
      </w:r>
      <w:r w:rsidRPr="006A6569">
        <w:rPr>
          <w:rFonts w:ascii="Arial" w:hAnsi="Arial" w:cs="Arial"/>
          <w:sz w:val="20"/>
          <w:szCs w:val="20"/>
        </w:rPr>
        <w:t>D</w:t>
      </w:r>
      <w:r w:rsidR="00BE53D0" w:rsidRPr="006A6569">
        <w:rPr>
          <w:rFonts w:ascii="Arial" w:hAnsi="Arial" w:cs="Arial"/>
          <w:sz w:val="20"/>
          <w:szCs w:val="20"/>
        </w:rPr>
        <w:t>:</w:t>
      </w:r>
    </w:p>
    <w:p w:rsidR="00BE53D0" w:rsidRPr="006A6569" w:rsidRDefault="00002C45" w:rsidP="00BE53D0">
      <w:pPr>
        <w:spacing w:line="360" w:lineRule="auto"/>
        <w:ind w:left="567"/>
        <w:jc w:val="both"/>
        <w:rPr>
          <w:rFonts w:ascii="Arial" w:hAnsi="Arial" w:cs="Arial"/>
          <w:sz w:val="20"/>
          <w:szCs w:val="20"/>
        </w:rPr>
      </w:pPr>
      <w:r w:rsidRPr="006A6569">
        <w:rPr>
          <w:rFonts w:ascii="Arial" w:hAnsi="Arial" w:cs="Arial"/>
          <w:sz w:val="20"/>
          <w:szCs w:val="20"/>
        </w:rPr>
        <w:t xml:space="preserve">do </w:t>
      </w:r>
      <w:r w:rsidR="006A6569" w:rsidRPr="006A6569">
        <w:rPr>
          <w:rFonts w:ascii="Arial" w:hAnsi="Arial" w:cs="Arial"/>
          <w:sz w:val="20"/>
          <w:szCs w:val="20"/>
        </w:rPr>
        <w:t>czterech tygodni - 5</w:t>
      </w:r>
      <w:r w:rsidR="00BE53D0" w:rsidRPr="006A6569">
        <w:rPr>
          <w:rFonts w:ascii="Arial" w:hAnsi="Arial" w:cs="Arial"/>
          <w:sz w:val="20"/>
          <w:szCs w:val="20"/>
        </w:rPr>
        <w:t xml:space="preserve"> pkt.</w:t>
      </w:r>
    </w:p>
    <w:p w:rsidR="00BE53D0" w:rsidRPr="006A6569" w:rsidRDefault="006A6569" w:rsidP="00BE53D0">
      <w:pPr>
        <w:spacing w:line="360" w:lineRule="auto"/>
        <w:ind w:left="567"/>
        <w:jc w:val="both"/>
        <w:rPr>
          <w:rFonts w:ascii="Arial" w:hAnsi="Arial" w:cs="Arial"/>
          <w:sz w:val="20"/>
          <w:szCs w:val="20"/>
        </w:rPr>
      </w:pPr>
      <w:r w:rsidRPr="006A6569">
        <w:rPr>
          <w:rFonts w:ascii="Arial" w:hAnsi="Arial" w:cs="Arial"/>
          <w:sz w:val="20"/>
          <w:szCs w:val="20"/>
        </w:rPr>
        <w:t>od czterech do sześciu tygodni</w:t>
      </w:r>
      <w:r w:rsidR="00BE53D0" w:rsidRPr="006A6569">
        <w:rPr>
          <w:rFonts w:ascii="Arial" w:hAnsi="Arial" w:cs="Arial"/>
          <w:sz w:val="20"/>
          <w:szCs w:val="20"/>
        </w:rPr>
        <w:t xml:space="preserve"> - 1 pkt.</w:t>
      </w:r>
    </w:p>
    <w:p w:rsidR="00BE53D0" w:rsidRDefault="00BE53D0" w:rsidP="00BE53D0">
      <w:pPr>
        <w:spacing w:line="360" w:lineRule="auto"/>
        <w:ind w:left="567"/>
        <w:jc w:val="both"/>
        <w:rPr>
          <w:rFonts w:ascii="Arial" w:hAnsi="Arial" w:cs="Arial"/>
          <w:sz w:val="20"/>
          <w:szCs w:val="20"/>
        </w:rPr>
      </w:pPr>
      <w:r w:rsidRPr="006A6569">
        <w:rPr>
          <w:rFonts w:ascii="Arial" w:hAnsi="Arial" w:cs="Arial"/>
          <w:sz w:val="20"/>
          <w:szCs w:val="20"/>
        </w:rPr>
        <w:t xml:space="preserve">Maksymalna ilość punktów: </w:t>
      </w:r>
      <w:r w:rsidR="00473DDA" w:rsidRPr="006A6569">
        <w:rPr>
          <w:rFonts w:ascii="Arial" w:hAnsi="Arial" w:cs="Arial"/>
          <w:sz w:val="20"/>
          <w:szCs w:val="20"/>
        </w:rPr>
        <w:t>5</w:t>
      </w:r>
      <w:r w:rsidRPr="006A6569">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P</w:t>
      </w:r>
      <w:r w:rsidR="00473DDA">
        <w:rPr>
          <w:rFonts w:ascii="Arial" w:hAnsi="Arial" w:cs="Arial"/>
          <w:sz w:val="20"/>
          <w:szCs w:val="20"/>
        </w:rPr>
        <w:t>D</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lastRenderedPageBreak/>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w:t>
      </w:r>
      <w:r w:rsidR="004134E2" w:rsidRPr="0081692D">
        <w:rPr>
          <w:rFonts w:ascii="Arial" w:hAnsi="Arial" w:cs="Arial"/>
          <w:sz w:val="20"/>
          <w:szCs w:val="20"/>
        </w:rPr>
        <w:lastRenderedPageBreak/>
        <w:t xml:space="preserve">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lastRenderedPageBreak/>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lastRenderedPageBreak/>
        <w:t>Wprowadzenie podwykonawcy nie może naruszać zapisów SIWZ i umowy na podstawie których dokonano wyboru oferty Wykonawcy.</w:t>
      </w:r>
    </w:p>
    <w:p w:rsidR="001C4829" w:rsidRDefault="001C4829" w:rsidP="001C4829">
      <w:pPr>
        <w:spacing w:line="360" w:lineRule="auto"/>
        <w:jc w:val="both"/>
        <w:rPr>
          <w:rFonts w:ascii="Arial" w:hAnsi="Arial" w:cs="Arial"/>
          <w:sz w:val="20"/>
          <w:szCs w:val="20"/>
        </w:rPr>
      </w:pPr>
    </w:p>
    <w:p w:rsidR="00A62E9A" w:rsidRPr="001C4829" w:rsidRDefault="00A62E9A" w:rsidP="001C4829">
      <w:pPr>
        <w:spacing w:line="360" w:lineRule="auto"/>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Default="004134E2" w:rsidP="004134E2">
      <w:pPr>
        <w:spacing w:line="360" w:lineRule="auto"/>
        <w:ind w:left="284"/>
        <w:jc w:val="both"/>
        <w:rPr>
          <w:rFonts w:ascii="Arial" w:eastAsia="Calibri" w:hAnsi="Arial" w:cs="Arial"/>
          <w:sz w:val="20"/>
          <w:szCs w:val="20"/>
        </w:rPr>
      </w:pPr>
    </w:p>
    <w:p w:rsidR="00DD46A1" w:rsidRPr="00DA542D" w:rsidRDefault="00DD46A1"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6"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134E2" w:rsidRPr="00DA542D" w:rsidRDefault="004134E2" w:rsidP="004134E2">
      <w:pPr>
        <w:tabs>
          <w:tab w:val="left" w:pos="0"/>
        </w:tabs>
        <w:spacing w:line="360" w:lineRule="auto"/>
        <w:jc w:val="both"/>
        <w:rPr>
          <w:rFonts w:ascii="Arial" w:hAnsi="Arial" w:cs="Arial"/>
          <w:sz w:val="20"/>
          <w:szCs w:val="20"/>
        </w:rPr>
      </w:pPr>
    </w:p>
    <w:sectPr w:rsidR="004134E2" w:rsidRPr="00DA542D" w:rsidSect="00C2068A">
      <w:headerReference w:type="default" r:id="rId17"/>
      <w:footerReference w:type="default" r:id="rId1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E8" w:rsidRDefault="004157E8" w:rsidP="00245CEA">
      <w:pPr>
        <w:spacing w:line="240" w:lineRule="auto"/>
      </w:pPr>
      <w:r>
        <w:separator/>
      </w:r>
    </w:p>
  </w:endnote>
  <w:endnote w:type="continuationSeparator" w:id="0">
    <w:p w:rsidR="004157E8" w:rsidRDefault="004157E8"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E8" w:rsidRDefault="004157E8"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4157E8" w:rsidRDefault="004157E8"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4157E8" w:rsidRDefault="004157E8"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E7849">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E8" w:rsidRDefault="004157E8" w:rsidP="00245CEA">
      <w:pPr>
        <w:spacing w:line="240" w:lineRule="auto"/>
      </w:pPr>
      <w:r>
        <w:separator/>
      </w:r>
    </w:p>
  </w:footnote>
  <w:footnote w:type="continuationSeparator" w:id="0">
    <w:p w:rsidR="004157E8" w:rsidRDefault="004157E8"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E8" w:rsidRDefault="004157E8"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47/16</w:t>
    </w:r>
    <w:r w:rsidRPr="00DA542D">
      <w:rPr>
        <w:sz w:val="16"/>
        <w:szCs w:val="16"/>
      </w:rPr>
      <w:t>/JC</w:t>
    </w:r>
  </w:p>
  <w:p w:rsidR="004157E8" w:rsidRDefault="004157E8"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F84D8D"/>
    <w:multiLevelType w:val="hybridMultilevel"/>
    <w:tmpl w:val="C748CE0C"/>
    <w:lvl w:ilvl="0" w:tplc="EEC6AD62">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CDA64CC"/>
    <w:multiLevelType w:val="hybridMultilevel"/>
    <w:tmpl w:val="706AEBB6"/>
    <w:lvl w:ilvl="0" w:tplc="04150017">
      <w:start w:val="1"/>
      <w:numFmt w:val="lowerLetter"/>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8">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C63AA0"/>
    <w:multiLevelType w:val="multilevel"/>
    <w:tmpl w:val="4C1E8B3C"/>
    <w:lvl w:ilvl="0">
      <w:start w:val="1"/>
      <w:numFmt w:val="ordinal"/>
      <w:lvlText w:val="%1)"/>
      <w:lvlJc w:val="righ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9">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141F78"/>
    <w:multiLevelType w:val="hybridMultilevel"/>
    <w:tmpl w:val="B7085C1E"/>
    <w:lvl w:ilvl="0" w:tplc="EEC6AD62">
      <w:start w:val="1"/>
      <w:numFmt w:val="ordinal"/>
      <w:lvlText w:val="%1)"/>
      <w:lvlJc w:val="righ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837FA8"/>
    <w:multiLevelType w:val="hybridMultilevel"/>
    <w:tmpl w:val="5DE6A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383471"/>
    <w:multiLevelType w:val="hybridMultilevel"/>
    <w:tmpl w:val="328CAC7C"/>
    <w:lvl w:ilvl="0" w:tplc="9FB2132E">
      <w:start w:val="1"/>
      <w:numFmt w:val="lowerLetter"/>
      <w:lvlText w:val="%1)"/>
      <w:lvlJc w:val="righ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87E4277"/>
    <w:multiLevelType w:val="hybridMultilevel"/>
    <w:tmpl w:val="1F52FE7A"/>
    <w:lvl w:ilvl="0" w:tplc="04150017">
      <w:start w:val="1"/>
      <w:numFmt w:val="lowerLetter"/>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54">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41"/>
  </w:num>
  <w:num w:numId="16">
    <w:abstractNumId w:val="7"/>
  </w:num>
  <w:num w:numId="17">
    <w:abstractNumId w:val="29"/>
  </w:num>
  <w:num w:numId="18">
    <w:abstractNumId w:val="51"/>
  </w:num>
  <w:num w:numId="19">
    <w:abstractNumId w:val="9"/>
  </w:num>
  <w:num w:numId="20">
    <w:abstractNumId w:val="44"/>
  </w:num>
  <w:num w:numId="21">
    <w:abstractNumId w:val="53"/>
  </w:num>
  <w:num w:numId="22">
    <w:abstractNumId w:val="31"/>
  </w:num>
  <w:num w:numId="23">
    <w:abstractNumId w:val="3"/>
  </w:num>
  <w:num w:numId="24">
    <w:abstractNumId w:val="4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9"/>
  </w:num>
  <w:num w:numId="28">
    <w:abstractNumId w:val="20"/>
  </w:num>
  <w:num w:numId="29">
    <w:abstractNumId w:val="32"/>
  </w:num>
  <w:num w:numId="30">
    <w:abstractNumId w:val="39"/>
  </w:num>
  <w:num w:numId="31">
    <w:abstractNumId w:val="16"/>
  </w:num>
  <w:num w:numId="32">
    <w:abstractNumId w:val="23"/>
  </w:num>
  <w:num w:numId="33">
    <w:abstractNumId w:val="15"/>
  </w:num>
  <w:num w:numId="34">
    <w:abstractNumId w:val="12"/>
  </w:num>
  <w:num w:numId="35">
    <w:abstractNumId w:val="36"/>
  </w:num>
  <w:num w:numId="36">
    <w:abstractNumId w:val="38"/>
  </w:num>
  <w:num w:numId="37">
    <w:abstractNumId w:val="26"/>
  </w:num>
  <w:num w:numId="38">
    <w:abstractNumId w:val="52"/>
  </w:num>
  <w:num w:numId="39">
    <w:abstractNumId w:val="6"/>
  </w:num>
  <w:num w:numId="40">
    <w:abstractNumId w:val="21"/>
  </w:num>
  <w:num w:numId="41">
    <w:abstractNumId w:val="14"/>
  </w:num>
  <w:num w:numId="42">
    <w:abstractNumId w:val="1"/>
    <w:lvlOverride w:ilvl="0">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
  </w:num>
  <w:num w:numId="52">
    <w:abstractNumId w:val="50"/>
  </w:num>
  <w:num w:numId="53">
    <w:abstractNumId w:val="8"/>
  </w:num>
  <w:num w:numId="54">
    <w:abstractNumId w:val="42"/>
  </w:num>
  <w:num w:numId="55">
    <w:abstractNumId w:val="27"/>
  </w:num>
  <w:num w:numId="56">
    <w:abstractNumId w:val="34"/>
  </w:num>
  <w:num w:numId="57">
    <w:abstractNumId w:val="13"/>
  </w:num>
  <w:num w:numId="58">
    <w:abstractNumId w:val="43"/>
  </w:num>
  <w:num w:numId="5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05B6E"/>
    <w:rsid w:val="00110CF5"/>
    <w:rsid w:val="00112497"/>
    <w:rsid w:val="001167F8"/>
    <w:rsid w:val="00123BD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E155F"/>
    <w:rsid w:val="00202AF9"/>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B706C"/>
    <w:rsid w:val="002C62A1"/>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3752"/>
    <w:rsid w:val="0033670C"/>
    <w:rsid w:val="003451E7"/>
    <w:rsid w:val="0034568A"/>
    <w:rsid w:val="003548BE"/>
    <w:rsid w:val="00374E47"/>
    <w:rsid w:val="003769A2"/>
    <w:rsid w:val="00376E6A"/>
    <w:rsid w:val="00380813"/>
    <w:rsid w:val="0038162C"/>
    <w:rsid w:val="00387C45"/>
    <w:rsid w:val="00390E8D"/>
    <w:rsid w:val="00392BEE"/>
    <w:rsid w:val="003956E2"/>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43DE"/>
    <w:rsid w:val="00624A63"/>
    <w:rsid w:val="00624FF0"/>
    <w:rsid w:val="00626198"/>
    <w:rsid w:val="00626F48"/>
    <w:rsid w:val="00627E03"/>
    <w:rsid w:val="0063186B"/>
    <w:rsid w:val="0063230E"/>
    <w:rsid w:val="0063285D"/>
    <w:rsid w:val="00644CAD"/>
    <w:rsid w:val="00645512"/>
    <w:rsid w:val="00655BE1"/>
    <w:rsid w:val="00656484"/>
    <w:rsid w:val="006611C6"/>
    <w:rsid w:val="00665751"/>
    <w:rsid w:val="006675A8"/>
    <w:rsid w:val="00673064"/>
    <w:rsid w:val="00675A2E"/>
    <w:rsid w:val="0068005C"/>
    <w:rsid w:val="0068138A"/>
    <w:rsid w:val="00686606"/>
    <w:rsid w:val="00692721"/>
    <w:rsid w:val="00696A6F"/>
    <w:rsid w:val="00696D95"/>
    <w:rsid w:val="006A6569"/>
    <w:rsid w:val="006B3BDD"/>
    <w:rsid w:val="006C0144"/>
    <w:rsid w:val="006C2BE4"/>
    <w:rsid w:val="006C4E98"/>
    <w:rsid w:val="006C71F5"/>
    <w:rsid w:val="006D1687"/>
    <w:rsid w:val="006D560F"/>
    <w:rsid w:val="006E36FB"/>
    <w:rsid w:val="006E6B46"/>
    <w:rsid w:val="006E7C20"/>
    <w:rsid w:val="006F788D"/>
    <w:rsid w:val="00704A0F"/>
    <w:rsid w:val="00704B92"/>
    <w:rsid w:val="007054CD"/>
    <w:rsid w:val="00707727"/>
    <w:rsid w:val="007078F2"/>
    <w:rsid w:val="0071733D"/>
    <w:rsid w:val="007202E2"/>
    <w:rsid w:val="00720ADC"/>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6018"/>
    <w:rsid w:val="008A36C5"/>
    <w:rsid w:val="008A54BC"/>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A2E37"/>
    <w:rsid w:val="009A4B8D"/>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3354"/>
    <w:rsid w:val="00B1466B"/>
    <w:rsid w:val="00B24AAC"/>
    <w:rsid w:val="00B31994"/>
    <w:rsid w:val="00B3531B"/>
    <w:rsid w:val="00B43A05"/>
    <w:rsid w:val="00B55380"/>
    <w:rsid w:val="00B55812"/>
    <w:rsid w:val="00B567E9"/>
    <w:rsid w:val="00B62622"/>
    <w:rsid w:val="00B72760"/>
    <w:rsid w:val="00B75514"/>
    <w:rsid w:val="00B86319"/>
    <w:rsid w:val="00B86A22"/>
    <w:rsid w:val="00B924AB"/>
    <w:rsid w:val="00B92723"/>
    <w:rsid w:val="00B94A58"/>
    <w:rsid w:val="00BA5603"/>
    <w:rsid w:val="00BB0340"/>
    <w:rsid w:val="00BB122B"/>
    <w:rsid w:val="00BB5B40"/>
    <w:rsid w:val="00BB60AB"/>
    <w:rsid w:val="00BC14F9"/>
    <w:rsid w:val="00BD6AC4"/>
    <w:rsid w:val="00BE0F2E"/>
    <w:rsid w:val="00BE53D0"/>
    <w:rsid w:val="00BE6F53"/>
    <w:rsid w:val="00C133FE"/>
    <w:rsid w:val="00C138D1"/>
    <w:rsid w:val="00C16D02"/>
    <w:rsid w:val="00C17E86"/>
    <w:rsid w:val="00C2068A"/>
    <w:rsid w:val="00C217FB"/>
    <w:rsid w:val="00C23572"/>
    <w:rsid w:val="00C242AC"/>
    <w:rsid w:val="00C27284"/>
    <w:rsid w:val="00C32E11"/>
    <w:rsid w:val="00C40D09"/>
    <w:rsid w:val="00C4416F"/>
    <w:rsid w:val="00C45DFC"/>
    <w:rsid w:val="00C46FE1"/>
    <w:rsid w:val="00C47020"/>
    <w:rsid w:val="00C51A77"/>
    <w:rsid w:val="00C57FC2"/>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7131"/>
    <w:rsid w:val="00D34749"/>
    <w:rsid w:val="00D36714"/>
    <w:rsid w:val="00D50742"/>
    <w:rsid w:val="00D51202"/>
    <w:rsid w:val="00D5676A"/>
    <w:rsid w:val="00D70CE8"/>
    <w:rsid w:val="00D72DE4"/>
    <w:rsid w:val="00D76184"/>
    <w:rsid w:val="00D80C83"/>
    <w:rsid w:val="00D80FD4"/>
    <w:rsid w:val="00D81684"/>
    <w:rsid w:val="00D84797"/>
    <w:rsid w:val="00D85332"/>
    <w:rsid w:val="00DA0DC3"/>
    <w:rsid w:val="00DA542D"/>
    <w:rsid w:val="00DC306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7095"/>
    <w:rsid w:val="00E60DAE"/>
    <w:rsid w:val="00E7291C"/>
    <w:rsid w:val="00E72E00"/>
    <w:rsid w:val="00E85795"/>
    <w:rsid w:val="00EA0F12"/>
    <w:rsid w:val="00EA2964"/>
    <w:rsid w:val="00EB360B"/>
    <w:rsid w:val="00EC0307"/>
    <w:rsid w:val="00EC6716"/>
    <w:rsid w:val="00ED290F"/>
    <w:rsid w:val="00ED5873"/>
    <w:rsid w:val="00EE3EB4"/>
    <w:rsid w:val="00EF0CC2"/>
    <w:rsid w:val="00EF131C"/>
    <w:rsid w:val="00EF65E4"/>
    <w:rsid w:val="00F01632"/>
    <w:rsid w:val="00F04CB7"/>
    <w:rsid w:val="00F0741B"/>
    <w:rsid w:val="00F07A6E"/>
    <w:rsid w:val="00F07B5C"/>
    <w:rsid w:val="00F22344"/>
    <w:rsid w:val="00F2340D"/>
    <w:rsid w:val="00F24E40"/>
    <w:rsid w:val="00F2799B"/>
    <w:rsid w:val="00F30005"/>
    <w:rsid w:val="00F30DCD"/>
    <w:rsid w:val="00F42F9D"/>
    <w:rsid w:val="00F46A9A"/>
    <w:rsid w:val="00F50A4A"/>
    <w:rsid w:val="00F50DA6"/>
    <w:rsid w:val="00F50E01"/>
    <w:rsid w:val="00F605C4"/>
    <w:rsid w:val="00F6297B"/>
    <w:rsid w:val="00F63743"/>
    <w:rsid w:val="00F71648"/>
    <w:rsid w:val="00F924C5"/>
    <w:rsid w:val="00F97594"/>
    <w:rsid w:val="00FA16E4"/>
    <w:rsid w:val="00FA5A8B"/>
    <w:rsid w:val="00FB7DFA"/>
    <w:rsid w:val="00FC256E"/>
    <w:rsid w:val="00FC3AB8"/>
    <w:rsid w:val="00FC7A2D"/>
    <w:rsid w:val="00FD0FD2"/>
    <w:rsid w:val="00FE195A"/>
    <w:rsid w:val="00FE3A76"/>
    <w:rsid w:val="00FE7849"/>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g.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kretariatdzp@ug.edu.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E04245-424F-46D1-B8D1-8C88D739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C0C0AC12</Template>
  <TotalTime>3</TotalTime>
  <Pages>21</Pages>
  <Words>7208</Words>
  <Characters>43254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2016-04-26T11:18:00Z</cp:lastPrinted>
  <dcterms:created xsi:type="dcterms:W3CDTF">2016-04-26T11:17:00Z</dcterms:created>
  <dcterms:modified xsi:type="dcterms:W3CDTF">2016-04-26T11:19:00Z</dcterms:modified>
</cp:coreProperties>
</file>