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proofErr w:type="spellStart"/>
      <w:r w:rsidR="00C616DB">
        <w:rPr>
          <w:rFonts w:ascii="Arial" w:hAnsi="Arial" w:cs="Arial"/>
          <w:sz w:val="20"/>
          <w:szCs w:val="20"/>
        </w:rPr>
        <w:t>galwanostatu</w:t>
      </w:r>
      <w:proofErr w:type="spellEnd"/>
      <w:r w:rsidR="00C616DB">
        <w:rPr>
          <w:rFonts w:ascii="Arial" w:hAnsi="Arial" w:cs="Arial"/>
          <w:sz w:val="20"/>
          <w:szCs w:val="20"/>
        </w:rPr>
        <w:t xml:space="preserve"> - potencjostatu</w:t>
      </w:r>
      <w:r w:rsidR="00882BC0">
        <w:rPr>
          <w:rFonts w:ascii="Arial" w:hAnsi="Arial" w:cs="Arial"/>
          <w:sz w:val="20"/>
          <w:szCs w:val="20"/>
        </w:rPr>
        <w:t xml:space="preserve"> dla </w:t>
      </w:r>
      <w:r w:rsidR="00C616DB">
        <w:rPr>
          <w:rFonts w:ascii="Arial" w:hAnsi="Arial" w:cs="Arial"/>
          <w:sz w:val="20"/>
          <w:szCs w:val="20"/>
        </w:rPr>
        <w:t>Wydziału Chemii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9E42EE">
        <w:rPr>
          <w:rFonts w:ascii="Arial" w:hAnsi="Arial" w:cs="Arial"/>
          <w:sz w:val="20"/>
          <w:szCs w:val="20"/>
        </w:rPr>
        <w:t>30.06.2016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9E42EE">
        <w:rPr>
          <w:rStyle w:val="text"/>
        </w:rPr>
        <w:t>112603-2016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9E42EE">
        <w:rPr>
          <w:rStyle w:val="text"/>
        </w:rPr>
        <w:t xml:space="preserve">30.06.2016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9E42EE">
        <w:rPr>
          <w:rStyle w:val="text"/>
        </w:rPr>
        <w:t xml:space="preserve">30.06.2016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8062BC">
        <w:rPr>
          <w:rFonts w:ascii="Arial" w:hAnsi="Arial" w:cs="Arial"/>
          <w:b/>
          <w:sz w:val="20"/>
          <w:szCs w:val="20"/>
        </w:rPr>
        <w:t xml:space="preserve">Jana </w:t>
      </w:r>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B21D16">
          <w:rPr>
            <w:noProof/>
            <w:webHidden/>
          </w:rPr>
          <w:t>3</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B21D16">
          <w:rPr>
            <w:noProof/>
            <w:webHidden/>
          </w:rPr>
          <w:t>3</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B21D16">
          <w:rPr>
            <w:noProof/>
            <w:webHidden/>
          </w:rPr>
          <w:t>4</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B21D16">
          <w:rPr>
            <w:noProof/>
            <w:webHidden/>
          </w:rPr>
          <w:t>4</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B21D16">
          <w:rPr>
            <w:noProof/>
            <w:webHidden/>
          </w:rPr>
          <w:t>5</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B21D16">
          <w:rPr>
            <w:noProof/>
            <w:webHidden/>
          </w:rPr>
          <w:t>8</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B21D16">
          <w:rPr>
            <w:noProof/>
            <w:webHidden/>
          </w:rPr>
          <w:t>9</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B21D16">
          <w:rPr>
            <w:noProof/>
            <w:webHidden/>
          </w:rPr>
          <w:t>11</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B21D16">
          <w:rPr>
            <w:noProof/>
            <w:webHidden/>
          </w:rPr>
          <w:t>11</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B21D16">
          <w:rPr>
            <w:noProof/>
            <w:webHidden/>
          </w:rPr>
          <w:t>13</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B21D16">
          <w:rPr>
            <w:noProof/>
            <w:webHidden/>
          </w:rPr>
          <w:t>14</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B21D16">
          <w:rPr>
            <w:noProof/>
            <w:webHidden/>
          </w:rPr>
          <w:t>14</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B21D16">
          <w:rPr>
            <w:noProof/>
            <w:webHidden/>
          </w:rPr>
          <w:t>16</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B21D16">
          <w:rPr>
            <w:noProof/>
            <w:webHidden/>
          </w:rPr>
          <w:t>17</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B21D16">
          <w:rPr>
            <w:noProof/>
            <w:webHidden/>
          </w:rPr>
          <w:t>18</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B21D16">
          <w:rPr>
            <w:noProof/>
            <w:webHidden/>
          </w:rPr>
          <w:t>18</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B21D16">
          <w:rPr>
            <w:noProof/>
            <w:webHidden/>
          </w:rPr>
          <w:t>19</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B21D16">
          <w:rPr>
            <w:noProof/>
            <w:webHidden/>
          </w:rPr>
          <w:t>19</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B21D16">
          <w:rPr>
            <w:noProof/>
            <w:webHidden/>
          </w:rPr>
          <w:t>20</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B21D16">
          <w:rPr>
            <w:noProof/>
            <w:webHidden/>
          </w:rPr>
          <w:t>21</w:t>
        </w:r>
        <w:r w:rsidR="00531D9A">
          <w:rPr>
            <w:noProof/>
            <w:webHidden/>
          </w:rPr>
          <w:fldChar w:fldCharType="end"/>
        </w:r>
      </w:hyperlink>
    </w:p>
    <w:p w:rsidR="00531D9A" w:rsidRDefault="009E42EE">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B21D16">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proofErr w:type="spellStart"/>
      <w:r w:rsidR="00C616DB">
        <w:rPr>
          <w:rFonts w:ascii="Arial" w:hAnsi="Arial" w:cs="Arial"/>
          <w:sz w:val="20"/>
          <w:szCs w:val="20"/>
        </w:rPr>
        <w:t>galwanostatu</w:t>
      </w:r>
      <w:proofErr w:type="spellEnd"/>
      <w:r w:rsidR="00C616DB">
        <w:rPr>
          <w:rFonts w:ascii="Arial" w:hAnsi="Arial" w:cs="Arial"/>
          <w:sz w:val="20"/>
          <w:szCs w:val="20"/>
        </w:rPr>
        <w:t xml:space="preserve"> - potencjostatu</w:t>
      </w:r>
      <w:r w:rsidR="00882BC0">
        <w:rPr>
          <w:rFonts w:ascii="Arial" w:hAnsi="Arial" w:cs="Arial"/>
          <w:sz w:val="20"/>
          <w:szCs w:val="20"/>
        </w:rPr>
        <w:t xml:space="preserve">, zwanego dalej sprzętem, dla </w:t>
      </w:r>
      <w:r w:rsidR="00C616DB">
        <w:rPr>
          <w:rFonts w:ascii="Arial" w:hAnsi="Arial" w:cs="Arial"/>
          <w:sz w:val="20"/>
          <w:szCs w:val="20"/>
        </w:rPr>
        <w:t>Wydziału Chemii</w:t>
      </w:r>
      <w:r w:rsidR="00882BC0">
        <w:rPr>
          <w:rFonts w:ascii="Arial" w:hAnsi="Arial" w:cs="Arial"/>
          <w:sz w:val="20"/>
          <w:szCs w:val="20"/>
        </w:rPr>
        <w:t xml:space="preserve">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C616DB">
        <w:rPr>
          <w:rFonts w:ascii="Arial" w:hAnsi="Arial" w:cs="Arial"/>
          <w:sz w:val="20"/>
          <w:szCs w:val="20"/>
        </w:rPr>
        <w:t>Wydział Chemii</w:t>
      </w:r>
      <w:r w:rsidR="00882BC0">
        <w:rPr>
          <w:rFonts w:ascii="Arial" w:hAnsi="Arial" w:cs="Arial"/>
          <w:sz w:val="20"/>
          <w:szCs w:val="20"/>
        </w:rPr>
        <w:t xml:space="preserve"> </w:t>
      </w:r>
      <w:r w:rsidR="00882BC0" w:rsidRPr="00FF372E">
        <w:rPr>
          <w:rFonts w:ascii="Arial" w:hAnsi="Arial" w:cs="Arial"/>
          <w:sz w:val="20"/>
          <w:szCs w:val="20"/>
        </w:rPr>
        <w:t>Uniwersytetu Gdańskiego</w:t>
      </w:r>
      <w:r w:rsidR="00882BC0">
        <w:rPr>
          <w:rFonts w:ascii="Arial" w:hAnsi="Arial" w:cs="Arial"/>
          <w:sz w:val="20"/>
          <w:szCs w:val="20"/>
        </w:rPr>
        <w:t xml:space="preserve">, </w:t>
      </w:r>
      <w:r w:rsidR="00C616DB">
        <w:rPr>
          <w:rFonts w:ascii="Arial" w:hAnsi="Arial" w:cs="Arial"/>
          <w:sz w:val="20"/>
          <w:szCs w:val="20"/>
        </w:rPr>
        <w:t>80-308 Gdańsk</w:t>
      </w:r>
      <w:r w:rsidR="00882BC0">
        <w:rPr>
          <w:rFonts w:ascii="Arial" w:hAnsi="Arial" w:cs="Arial"/>
          <w:sz w:val="20"/>
          <w:szCs w:val="20"/>
        </w:rPr>
        <w:t>,</w:t>
      </w:r>
      <w:r w:rsidR="00C616DB">
        <w:rPr>
          <w:rFonts w:ascii="Arial" w:hAnsi="Arial" w:cs="Arial"/>
          <w:sz w:val="20"/>
          <w:szCs w:val="20"/>
        </w:rPr>
        <w:t xml:space="preserve"> ul. Wita Stwosza 63</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C616DB">
        <w:rPr>
          <w:rFonts w:ascii="Arial" w:hAnsi="Arial" w:cs="Arial"/>
          <w:bCs/>
          <w:sz w:val="20"/>
          <w:szCs w:val="20"/>
        </w:rPr>
        <w:t>G224</w:t>
      </w:r>
      <w:r>
        <w:rPr>
          <w:sz w:val="20"/>
          <w:szCs w:val="20"/>
        </w:rPr>
        <w:t>.</w:t>
      </w:r>
    </w:p>
    <w:p w:rsid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344000" w:rsidRPr="005D6273" w:rsidRDefault="00344000"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Pr>
          <w:rFonts w:ascii="Arial" w:hAnsi="Arial" w:cs="Arial"/>
          <w:color w:val="0F243E"/>
          <w:sz w:val="20"/>
          <w:szCs w:val="20"/>
        </w:rPr>
        <w:t xml:space="preserve">W skład dostawy wchodzi instalacja sprzętu i szkolenie </w:t>
      </w:r>
      <w:r w:rsidR="00C616DB">
        <w:rPr>
          <w:rFonts w:ascii="Arial" w:hAnsi="Arial" w:cs="Arial"/>
          <w:color w:val="0F243E"/>
          <w:sz w:val="20"/>
          <w:szCs w:val="20"/>
        </w:rPr>
        <w:t>2</w:t>
      </w:r>
      <w:r>
        <w:rPr>
          <w:rFonts w:ascii="Arial" w:hAnsi="Arial" w:cs="Arial"/>
          <w:color w:val="0F243E"/>
          <w:sz w:val="20"/>
          <w:szCs w:val="20"/>
        </w:rPr>
        <w:t xml:space="preserve"> osób w zakresie obsługi sprzętu.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882BC0" w:rsidP="00C57FC2">
      <w:pPr>
        <w:pStyle w:val="Akapitzlist"/>
        <w:numPr>
          <w:ilvl w:val="3"/>
          <w:numId w:val="41"/>
        </w:numPr>
        <w:tabs>
          <w:tab w:val="clear" w:pos="2880"/>
        </w:tabs>
        <w:spacing w:line="360" w:lineRule="auto"/>
        <w:ind w:left="709" w:hanging="425"/>
        <w:jc w:val="both"/>
        <w:rPr>
          <w:rFonts w:ascii="Arial" w:hAnsi="Arial" w:cs="Arial"/>
          <w:sz w:val="20"/>
          <w:szCs w:val="20"/>
        </w:rPr>
      </w:pPr>
      <w:r>
        <w:rPr>
          <w:rFonts w:ascii="Arial" w:hAnsi="Arial" w:cs="Arial"/>
          <w:sz w:val="20"/>
          <w:szCs w:val="20"/>
        </w:rPr>
        <w:t xml:space="preserve">12 miesięcy </w:t>
      </w:r>
      <w:r w:rsidRPr="002D1396">
        <w:rPr>
          <w:rFonts w:ascii="Arial" w:hAnsi="Arial" w:cs="Arial"/>
          <w:sz w:val="20"/>
          <w:szCs w:val="20"/>
        </w:rPr>
        <w:t xml:space="preserve">(Wykonawca może zaproponować </w:t>
      </w:r>
      <w:r>
        <w:rPr>
          <w:rFonts w:ascii="Arial" w:hAnsi="Arial" w:cs="Arial"/>
          <w:sz w:val="20"/>
          <w:szCs w:val="20"/>
        </w:rPr>
        <w:t>dłuższy okres gwarancji: Rozd</w:t>
      </w:r>
      <w:r w:rsidRPr="002D1396">
        <w:rPr>
          <w:rFonts w:ascii="Arial" w:hAnsi="Arial" w:cs="Arial"/>
          <w:sz w:val="20"/>
          <w:szCs w:val="20"/>
        </w:rPr>
        <w:t xml:space="preserve">ział XII SIWZ – </w:t>
      </w:r>
      <w:r>
        <w:rPr>
          <w:rFonts w:ascii="Arial" w:hAnsi="Arial" w:cs="Arial"/>
          <w:sz w:val="20"/>
          <w:szCs w:val="20"/>
        </w:rPr>
        <w:t>okres gwarancji</w:t>
      </w:r>
      <w:r w:rsidRPr="002D1396">
        <w:rPr>
          <w:rFonts w:ascii="Arial" w:hAnsi="Arial" w:cs="Arial"/>
          <w:sz w:val="20"/>
          <w:szCs w:val="20"/>
        </w:rPr>
        <w:t xml:space="preserve"> jest jednym z kryteriów oceny ofert</w:t>
      </w:r>
      <w:r>
        <w:rPr>
          <w:rFonts w:ascii="Arial" w:hAnsi="Arial" w:cs="Arial"/>
          <w:sz w:val="20"/>
          <w:szCs w:val="20"/>
        </w:rPr>
        <w:t>)</w:t>
      </w:r>
      <w:r w:rsidR="0054406F">
        <w:rPr>
          <w:rFonts w:ascii="Arial" w:hAnsi="Arial" w:cs="Arial"/>
          <w:sz w:val="20"/>
          <w:szCs w:val="20"/>
        </w:rPr>
        <w:t>,</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BA796C">
        <w:rPr>
          <w:rFonts w:ascii="Arial" w:hAnsi="Arial" w:cs="Arial"/>
          <w:sz w:val="20"/>
          <w:szCs w:val="20"/>
        </w:rPr>
        <w:t>7</w:t>
      </w:r>
      <w:r w:rsidRPr="00800F05">
        <w:rPr>
          <w:rFonts w:ascii="Arial" w:hAnsi="Arial" w:cs="Arial"/>
          <w:sz w:val="20"/>
          <w:szCs w:val="20"/>
        </w:rPr>
        <w:t xml:space="preserve"> </w:t>
      </w:r>
      <w:r w:rsidR="00C62A7E">
        <w:rPr>
          <w:rFonts w:ascii="Arial" w:hAnsi="Arial" w:cs="Arial"/>
          <w:sz w:val="20"/>
          <w:szCs w:val="20"/>
        </w:rPr>
        <w:t xml:space="preserve">Przedstawiciel </w:t>
      </w:r>
      <w:r w:rsidRPr="00800F05">
        <w:rPr>
          <w:rFonts w:ascii="Arial" w:hAnsi="Arial" w:cs="Arial"/>
          <w:sz w:val="20"/>
          <w:szCs w:val="20"/>
        </w:rPr>
        <w:t>Zamawiając</w:t>
      </w:r>
      <w:r w:rsidR="00C62A7E">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C62A7E">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F41D7F" w:rsidRPr="00F41D7F" w:rsidRDefault="00F41D7F" w:rsidP="00F41D7F">
      <w:pPr>
        <w:numPr>
          <w:ilvl w:val="0"/>
          <w:numId w:val="50"/>
        </w:numPr>
        <w:suppressAutoHyphens/>
        <w:spacing w:line="360" w:lineRule="auto"/>
        <w:ind w:left="284" w:hanging="284"/>
        <w:jc w:val="both"/>
        <w:rPr>
          <w:rFonts w:ascii="Arial" w:hAnsi="Arial" w:cs="Arial"/>
          <w:sz w:val="20"/>
          <w:szCs w:val="20"/>
        </w:rPr>
      </w:pPr>
      <w:r w:rsidRPr="00C616DB">
        <w:rPr>
          <w:rFonts w:ascii="Arial" w:hAnsi="Arial" w:cs="Arial"/>
          <w:sz w:val="20"/>
          <w:szCs w:val="20"/>
        </w:rPr>
        <w:t xml:space="preserve">W przypadku, gdy sprzęt jest produktem wykorzystującym energię w rozumieniu art. 2 ustawy </w:t>
      </w:r>
      <w:r w:rsidRPr="00C616DB">
        <w:rPr>
          <w:rFonts w:ascii="Arial" w:hAnsi="Arial" w:cs="Arial"/>
          <w:sz w:val="20"/>
          <w:szCs w:val="20"/>
        </w:rPr>
        <w:br/>
      </w:r>
      <w:r w:rsidRPr="00F41D7F">
        <w:rPr>
          <w:rFonts w:ascii="Arial" w:hAnsi="Arial" w:cs="Arial"/>
          <w:sz w:val="20"/>
          <w:szCs w:val="20"/>
        </w:rPr>
        <w:t xml:space="preserve">z dnia 14 września 2012r. </w:t>
      </w:r>
      <w:r w:rsidRPr="00F41D7F">
        <w:rPr>
          <w:rFonts w:ascii="Arial" w:hAnsi="Arial" w:cs="Arial"/>
          <w:bCs/>
          <w:sz w:val="20"/>
          <w:szCs w:val="20"/>
        </w:rPr>
        <w:t>o informowaniu o zużyciu energii przez produkty wykorzystujące energię oraz o kontroli realizacji programu znakowania urządzeń biurowych</w:t>
      </w:r>
      <w:r w:rsidRPr="00F41D7F">
        <w:rPr>
          <w:rFonts w:ascii="Arial" w:hAnsi="Arial" w:cs="Arial"/>
          <w:sz w:val="20"/>
          <w:szCs w:val="20"/>
        </w:rPr>
        <w:t xml:space="preserve"> (Dz. U. z 2012r. poz. 1203 </w:t>
      </w:r>
      <w:r>
        <w:rPr>
          <w:rFonts w:ascii="Arial" w:hAnsi="Arial" w:cs="Arial"/>
          <w:sz w:val="20"/>
          <w:szCs w:val="20"/>
        </w:rPr>
        <w:br/>
      </w:r>
      <w:r w:rsidRPr="00F41D7F">
        <w:rPr>
          <w:rFonts w:ascii="Arial" w:hAnsi="Arial" w:cs="Arial"/>
          <w:sz w:val="20"/>
          <w:szCs w:val="20"/>
        </w:rPr>
        <w:t xml:space="preserve">z </w:t>
      </w:r>
      <w:proofErr w:type="spellStart"/>
      <w:r w:rsidRPr="00F41D7F">
        <w:rPr>
          <w:rFonts w:ascii="Arial" w:hAnsi="Arial" w:cs="Arial"/>
          <w:sz w:val="20"/>
          <w:szCs w:val="20"/>
        </w:rPr>
        <w:t>późn</w:t>
      </w:r>
      <w:proofErr w:type="spellEnd"/>
      <w:r w:rsidRPr="00F41D7F">
        <w:rPr>
          <w:rFonts w:ascii="Arial" w:hAnsi="Arial" w:cs="Arial"/>
          <w:sz w:val="20"/>
          <w:szCs w:val="20"/>
        </w:rPr>
        <w:t>. zm.)</w:t>
      </w:r>
      <w:r>
        <w:rPr>
          <w:rFonts w:ascii="Arial" w:hAnsi="Arial" w:cs="Arial"/>
          <w:sz w:val="20"/>
          <w:szCs w:val="20"/>
        </w:rPr>
        <w:t>, powinien</w:t>
      </w:r>
      <w:r w:rsidRPr="00F41D7F">
        <w:rPr>
          <w:rFonts w:ascii="Arial" w:hAnsi="Arial" w:cs="Arial"/>
          <w:sz w:val="20"/>
          <w:szCs w:val="20"/>
        </w:rPr>
        <w:t>:</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 xml:space="preserve">mieć dołączone do produktu wykorzystującego energię etykiety sporządzone w języku polskim, które będą zawierały informacje o klasie efektywności energetycznej (zużyciu energii </w:t>
      </w:r>
      <w:r w:rsidRPr="00F41D7F">
        <w:rPr>
          <w:rFonts w:ascii="Arial" w:hAnsi="Arial" w:cs="Arial"/>
          <w:sz w:val="20"/>
          <w:szCs w:val="20"/>
        </w:rPr>
        <w:lastRenderedPageBreak/>
        <w:t>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P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4134E2" w:rsidRPr="00C62A7E" w:rsidRDefault="004134E2" w:rsidP="004B1DA6">
      <w:pPr>
        <w:tabs>
          <w:tab w:val="left" w:pos="0"/>
        </w:tabs>
        <w:spacing w:line="360" w:lineRule="auto"/>
        <w:contextualSpacing/>
        <w:jc w:val="both"/>
        <w:rPr>
          <w:rFonts w:ascii="Arial" w:hAnsi="Arial" w:cs="Arial"/>
          <w:b/>
          <w:sz w:val="16"/>
          <w:szCs w:val="16"/>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5D6273" w:rsidRDefault="004134E2" w:rsidP="00C62A7E">
      <w:pPr>
        <w:spacing w:before="120" w:after="120"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882BC0">
        <w:rPr>
          <w:rFonts w:ascii="Arial" w:hAnsi="Arial" w:cs="Arial"/>
          <w:sz w:val="20"/>
          <w:szCs w:val="20"/>
        </w:rPr>
        <w:t>8</w:t>
      </w:r>
      <w:r w:rsidR="00367848">
        <w:rPr>
          <w:rFonts w:ascii="Arial" w:hAnsi="Arial" w:cs="Arial"/>
          <w:sz w:val="20"/>
          <w:szCs w:val="20"/>
        </w:rPr>
        <w:t xml:space="preserve"> - 10</w:t>
      </w:r>
      <w:r w:rsidR="009268FD">
        <w:rPr>
          <w:rFonts w:ascii="Arial" w:hAnsi="Arial" w:cs="Arial"/>
          <w:sz w:val="20"/>
          <w:szCs w:val="20"/>
        </w:rPr>
        <w:t xml:space="preserve"> tygodni</w:t>
      </w:r>
      <w:r w:rsidR="00B24AAC">
        <w:rPr>
          <w:rFonts w:ascii="Arial" w:hAnsi="Arial" w:cs="Arial"/>
          <w:sz w:val="20"/>
          <w:szCs w:val="20"/>
        </w:rPr>
        <w:t xml:space="preserve"> </w:t>
      </w:r>
      <w:r w:rsidR="00CF30A0">
        <w:rPr>
          <w:rFonts w:ascii="Arial" w:hAnsi="Arial" w:cs="Arial"/>
          <w:sz w:val="20"/>
          <w:szCs w:val="20"/>
        </w:rPr>
        <w:t>od dnia zawarcia umowy</w:t>
      </w:r>
      <w:r w:rsidR="00A62E9A">
        <w:rPr>
          <w:rFonts w:ascii="Arial" w:hAnsi="Arial" w:cs="Arial"/>
          <w:sz w:val="20"/>
          <w:szCs w:val="20"/>
        </w:rPr>
        <w:t>.</w:t>
      </w:r>
      <w:r w:rsidR="00C616DB">
        <w:rPr>
          <w:rFonts w:ascii="Arial" w:hAnsi="Arial" w:cs="Arial"/>
          <w:sz w:val="20"/>
          <w:szCs w:val="20"/>
        </w:rPr>
        <w:t xml:space="preserve"> </w:t>
      </w:r>
      <w:r w:rsidR="00C616DB" w:rsidRPr="002D1396">
        <w:rPr>
          <w:rFonts w:ascii="Arial" w:hAnsi="Arial" w:cs="Arial"/>
          <w:sz w:val="20"/>
          <w:szCs w:val="20"/>
        </w:rPr>
        <w:t xml:space="preserve">Wykonawca może zaproponować </w:t>
      </w:r>
      <w:r w:rsidR="00C616DB">
        <w:rPr>
          <w:rFonts w:ascii="Arial" w:hAnsi="Arial" w:cs="Arial"/>
          <w:sz w:val="20"/>
          <w:szCs w:val="20"/>
        </w:rPr>
        <w:t>termin dostawy: Rozd</w:t>
      </w:r>
      <w:r w:rsidR="00C616DB" w:rsidRPr="002D1396">
        <w:rPr>
          <w:rFonts w:ascii="Arial" w:hAnsi="Arial" w:cs="Arial"/>
          <w:sz w:val="20"/>
          <w:szCs w:val="20"/>
        </w:rPr>
        <w:t xml:space="preserve">ział XII SIWZ – </w:t>
      </w:r>
      <w:r w:rsidR="00C616DB">
        <w:rPr>
          <w:rFonts w:ascii="Arial" w:hAnsi="Arial" w:cs="Arial"/>
          <w:sz w:val="20"/>
          <w:szCs w:val="20"/>
        </w:rPr>
        <w:t>termin dostawy</w:t>
      </w:r>
      <w:r w:rsidR="00C616DB" w:rsidRPr="002D1396">
        <w:rPr>
          <w:rFonts w:ascii="Arial" w:hAnsi="Arial" w:cs="Arial"/>
          <w:sz w:val="20"/>
          <w:szCs w:val="20"/>
        </w:rPr>
        <w:t xml:space="preserve"> jest jednym z kryteriów oceny ofert</w:t>
      </w:r>
      <w:r w:rsidR="00C616DB">
        <w:rPr>
          <w:rFonts w:ascii="Arial" w:hAnsi="Arial" w:cs="Arial"/>
          <w:sz w:val="20"/>
          <w:szCs w:val="20"/>
        </w:rPr>
        <w:t>.</w:t>
      </w: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lastRenderedPageBreak/>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lastRenderedPageBreak/>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w:t>
      </w:r>
      <w:r w:rsidRPr="001A333B">
        <w:rPr>
          <w:rFonts w:ascii="Arial" w:eastAsia="Times New Roman" w:hAnsi="Arial" w:cs="Arial"/>
          <w:sz w:val="20"/>
          <w:szCs w:val="20"/>
          <w:lang w:eastAsia="ar-SA"/>
        </w:rPr>
        <w:lastRenderedPageBreak/>
        <w:t xml:space="preserve">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w:t>
      </w:r>
      <w:r w:rsidRPr="007D67CB">
        <w:rPr>
          <w:rFonts w:ascii="Arial" w:hAnsi="Arial" w:cs="Arial"/>
          <w:sz w:val="20"/>
          <w:szCs w:val="20"/>
        </w:rPr>
        <w:lastRenderedPageBreak/>
        <w:t xml:space="preserve">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lastRenderedPageBreak/>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w:t>
      </w:r>
      <w:r w:rsidR="008062BC">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E555F2"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200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dwieście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C616DB">
        <w:rPr>
          <w:rFonts w:ascii="Arial" w:eastAsia="Times New Roman" w:hAnsi="Arial" w:cs="Arial"/>
          <w:b/>
          <w:bCs/>
          <w:sz w:val="20"/>
          <w:szCs w:val="20"/>
          <w:lang w:eastAsia="ar-SA"/>
        </w:rPr>
        <w:t>96</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lastRenderedPageBreak/>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proofErr w:type="spellStart"/>
            <w:r w:rsidR="00C616DB">
              <w:rPr>
                <w:rFonts w:ascii="Arial" w:hAnsi="Arial" w:cs="Arial"/>
                <w:sz w:val="20"/>
                <w:szCs w:val="20"/>
              </w:rPr>
              <w:t>galwanostatu</w:t>
            </w:r>
            <w:proofErr w:type="spellEnd"/>
            <w:r w:rsidR="00C616DB">
              <w:rPr>
                <w:rFonts w:ascii="Arial" w:hAnsi="Arial" w:cs="Arial"/>
                <w:sz w:val="20"/>
                <w:szCs w:val="20"/>
              </w:rPr>
              <w:t xml:space="preserve"> – potencjostatu dla Wydziału Chemii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C616DB">
              <w:rPr>
                <w:rFonts w:ascii="Arial" w:hAnsi="Arial" w:cs="Arial"/>
                <w:b/>
                <w:sz w:val="20"/>
                <w:szCs w:val="20"/>
              </w:rPr>
              <w:t>96</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9E42EE">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9E42EE">
              <w:rPr>
                <w:rFonts w:ascii="Arial" w:hAnsi="Arial" w:cs="Arial"/>
                <w:b/>
                <w:bCs/>
                <w:i/>
                <w:sz w:val="20"/>
                <w:szCs w:val="20"/>
              </w:rPr>
              <w:t>18.07.2016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16 </w:t>
      </w:r>
      <w:r w:rsidRPr="00E51178">
        <w:rPr>
          <w:rFonts w:ascii="Arial" w:hAnsi="Arial" w:cs="Arial"/>
          <w:sz w:val="20"/>
          <w:szCs w:val="20"/>
        </w:rPr>
        <w:lastRenderedPageBreak/>
        <w:t>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w:t>
      </w:r>
      <w:r w:rsidR="008062BC">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9E42EE">
        <w:rPr>
          <w:rFonts w:ascii="Arial" w:hAnsi="Arial" w:cs="Arial"/>
          <w:b/>
          <w:bCs/>
          <w:i/>
          <w:sz w:val="20"/>
          <w:szCs w:val="20"/>
        </w:rPr>
        <w:t>18 lipca 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w:t>
      </w:r>
      <w:r w:rsidR="008062BC">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9E42EE">
        <w:rPr>
          <w:rFonts w:ascii="Arial" w:hAnsi="Arial" w:cs="Arial"/>
          <w:b/>
          <w:bCs/>
          <w:i/>
          <w:sz w:val="20"/>
          <w:szCs w:val="20"/>
        </w:rPr>
        <w:t>18 lipca 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lastRenderedPageBreak/>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C616DB">
        <w:rPr>
          <w:rFonts w:ascii="Arial" w:hAnsi="Arial" w:cs="Arial"/>
          <w:b/>
          <w:bCs/>
          <w:sz w:val="20"/>
          <w:szCs w:val="20"/>
        </w:rPr>
        <w:t>70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827D3D" w:rsidP="009501CF">
      <w:pPr>
        <w:pStyle w:val="Tekstprzypisudolnego"/>
        <w:spacing w:line="360" w:lineRule="auto"/>
        <w:ind w:left="284"/>
        <w:rPr>
          <w:rFonts w:ascii="Arial" w:hAnsi="Arial" w:cs="Arial"/>
          <w:b/>
          <w:bCs/>
          <w:sz w:val="20"/>
          <w:szCs w:val="20"/>
        </w:rPr>
      </w:pPr>
      <w:r>
        <w:rPr>
          <w:rFonts w:ascii="Arial" w:hAnsi="Arial" w:cs="Arial"/>
          <w:b/>
          <w:bCs/>
          <w:sz w:val="20"/>
          <w:szCs w:val="20"/>
        </w:rPr>
        <w:t>Okres gwarancji</w:t>
      </w:r>
      <w:r w:rsidR="004D27B3" w:rsidRPr="001B7C94">
        <w:rPr>
          <w:rFonts w:ascii="Arial" w:hAnsi="Arial" w:cs="Arial"/>
          <w:b/>
          <w:bCs/>
          <w:sz w:val="20"/>
          <w:szCs w:val="20"/>
        </w:rPr>
        <w:t xml:space="preserve"> – </w:t>
      </w:r>
      <w:r w:rsidR="00202DFA">
        <w:rPr>
          <w:rFonts w:ascii="Arial" w:hAnsi="Arial" w:cs="Arial"/>
          <w:b/>
          <w:bCs/>
          <w:sz w:val="20"/>
          <w:szCs w:val="20"/>
        </w:rPr>
        <w:t>10</w:t>
      </w:r>
      <w:r w:rsidR="004D27B3" w:rsidRPr="001B7C94">
        <w:rPr>
          <w:rFonts w:ascii="Arial" w:hAnsi="Arial" w:cs="Arial"/>
          <w:b/>
          <w:bCs/>
          <w:sz w:val="20"/>
          <w:szCs w:val="20"/>
        </w:rPr>
        <w:t xml:space="preserve"> % wagi</w:t>
      </w:r>
    </w:p>
    <w:p w:rsidR="00C616DB" w:rsidRDefault="00C616DB"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 dostawy – 10 % wagi</w:t>
      </w:r>
    </w:p>
    <w:p w:rsidR="00C616DB" w:rsidRDefault="00C616DB" w:rsidP="009501CF">
      <w:pPr>
        <w:pStyle w:val="Tekstprzypisudolnego"/>
        <w:spacing w:line="360" w:lineRule="auto"/>
        <w:ind w:left="284"/>
        <w:rPr>
          <w:rFonts w:ascii="Arial" w:hAnsi="Arial" w:cs="Arial"/>
          <w:b/>
          <w:bCs/>
          <w:sz w:val="20"/>
          <w:szCs w:val="20"/>
        </w:rPr>
      </w:pPr>
      <w:r>
        <w:rPr>
          <w:rFonts w:ascii="Arial" w:hAnsi="Arial" w:cs="Arial"/>
          <w:b/>
          <w:bCs/>
          <w:sz w:val="20"/>
          <w:szCs w:val="20"/>
        </w:rPr>
        <w:lastRenderedPageBreak/>
        <w:t>Wymiana modułu impedancyjnego – 10%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C616DB">
        <w:rPr>
          <w:rFonts w:ascii="Arial" w:hAnsi="Arial" w:cs="Arial"/>
          <w:sz w:val="20"/>
          <w:szCs w:val="20"/>
        </w:rPr>
        <w:t>7</w:t>
      </w:r>
      <w:r w:rsidR="00E555F2">
        <w:rPr>
          <w:rFonts w:ascii="Arial" w:hAnsi="Arial" w:cs="Arial"/>
          <w:sz w:val="20"/>
          <w:szCs w:val="20"/>
        </w:rPr>
        <w:t>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C616DB">
        <w:rPr>
          <w:rFonts w:ascii="Arial" w:hAnsi="Arial" w:cs="Arial"/>
          <w:sz w:val="20"/>
          <w:szCs w:val="20"/>
        </w:rPr>
        <w:t>7</w:t>
      </w:r>
      <w:r w:rsidR="00E555F2">
        <w:rPr>
          <w:rFonts w:ascii="Arial" w:hAnsi="Arial" w:cs="Arial"/>
          <w:sz w:val="20"/>
          <w:szCs w:val="20"/>
        </w:rPr>
        <w:t>0</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BE53D0" w:rsidRPr="006A6569" w:rsidRDefault="00E555F2"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Okres gwarancji</w:t>
      </w:r>
      <w:r w:rsidR="00BE53D0" w:rsidRPr="006A6569">
        <w:rPr>
          <w:rFonts w:ascii="Arial" w:hAnsi="Arial" w:cs="Arial"/>
          <w:sz w:val="20"/>
          <w:szCs w:val="20"/>
        </w:rPr>
        <w:t xml:space="preserve"> P</w:t>
      </w:r>
      <w:r>
        <w:rPr>
          <w:rFonts w:ascii="Arial" w:hAnsi="Arial" w:cs="Arial"/>
          <w:sz w:val="20"/>
          <w:szCs w:val="20"/>
        </w:rPr>
        <w:t>G</w:t>
      </w:r>
      <w:r w:rsidR="00BE53D0" w:rsidRPr="006A6569">
        <w:rPr>
          <w:rFonts w:ascii="Arial" w:hAnsi="Arial" w:cs="Arial"/>
          <w:sz w:val="20"/>
          <w:szCs w:val="20"/>
        </w:rPr>
        <w:t>:</w:t>
      </w:r>
    </w:p>
    <w:p w:rsidR="00BE53D0" w:rsidRPr="006A6569" w:rsidRDefault="00E555F2" w:rsidP="00BE53D0">
      <w:pPr>
        <w:spacing w:line="360" w:lineRule="auto"/>
        <w:ind w:left="567"/>
        <w:jc w:val="both"/>
        <w:rPr>
          <w:rFonts w:ascii="Arial" w:hAnsi="Arial" w:cs="Arial"/>
          <w:sz w:val="20"/>
          <w:szCs w:val="20"/>
        </w:rPr>
      </w:pPr>
      <w:r>
        <w:rPr>
          <w:rFonts w:ascii="Arial" w:hAnsi="Arial" w:cs="Arial"/>
          <w:sz w:val="20"/>
          <w:szCs w:val="20"/>
        </w:rPr>
        <w:t>od 1</w:t>
      </w:r>
      <w:r w:rsidR="005751E1">
        <w:rPr>
          <w:rFonts w:ascii="Arial" w:hAnsi="Arial" w:cs="Arial"/>
          <w:sz w:val="20"/>
          <w:szCs w:val="20"/>
        </w:rPr>
        <w:t>2</w:t>
      </w:r>
      <w:r>
        <w:rPr>
          <w:rFonts w:ascii="Arial" w:hAnsi="Arial" w:cs="Arial"/>
          <w:sz w:val="20"/>
          <w:szCs w:val="20"/>
        </w:rPr>
        <w:t xml:space="preserve"> do 2</w:t>
      </w:r>
      <w:r w:rsidR="005751E1">
        <w:rPr>
          <w:rFonts w:ascii="Arial" w:hAnsi="Arial" w:cs="Arial"/>
          <w:sz w:val="20"/>
          <w:szCs w:val="20"/>
        </w:rPr>
        <w:t>3</w:t>
      </w:r>
      <w:r>
        <w:rPr>
          <w:rFonts w:ascii="Arial" w:hAnsi="Arial" w:cs="Arial"/>
          <w:sz w:val="20"/>
          <w:szCs w:val="20"/>
        </w:rPr>
        <w:t xml:space="preserve"> miesięcy</w:t>
      </w:r>
      <w:r w:rsidR="006A6569" w:rsidRPr="006A6569">
        <w:rPr>
          <w:rFonts w:ascii="Arial" w:hAnsi="Arial" w:cs="Arial"/>
          <w:sz w:val="20"/>
          <w:szCs w:val="20"/>
        </w:rPr>
        <w:t xml:space="preserve"> - </w:t>
      </w:r>
      <w:r w:rsidR="005751E1">
        <w:rPr>
          <w:rFonts w:ascii="Arial" w:hAnsi="Arial" w:cs="Arial"/>
          <w:sz w:val="20"/>
          <w:szCs w:val="20"/>
        </w:rPr>
        <w:t>1</w:t>
      </w:r>
      <w:r w:rsidR="00BE53D0" w:rsidRPr="006A6569">
        <w:rPr>
          <w:rFonts w:ascii="Arial" w:hAnsi="Arial" w:cs="Arial"/>
          <w:sz w:val="20"/>
          <w:szCs w:val="20"/>
        </w:rPr>
        <w:t xml:space="preserve"> pkt.</w:t>
      </w:r>
    </w:p>
    <w:p w:rsidR="00BE53D0" w:rsidRPr="006A6569" w:rsidRDefault="00E555F2" w:rsidP="00BE53D0">
      <w:pPr>
        <w:spacing w:line="360" w:lineRule="auto"/>
        <w:ind w:left="567"/>
        <w:jc w:val="both"/>
        <w:rPr>
          <w:rFonts w:ascii="Arial" w:hAnsi="Arial" w:cs="Arial"/>
          <w:sz w:val="20"/>
          <w:szCs w:val="20"/>
        </w:rPr>
      </w:pPr>
      <w:r>
        <w:rPr>
          <w:rFonts w:ascii="Arial" w:hAnsi="Arial" w:cs="Arial"/>
          <w:sz w:val="20"/>
          <w:szCs w:val="20"/>
        </w:rPr>
        <w:t>24 miesi</w:t>
      </w:r>
      <w:r w:rsidR="005751E1">
        <w:rPr>
          <w:rFonts w:ascii="Arial" w:hAnsi="Arial" w:cs="Arial"/>
          <w:sz w:val="20"/>
          <w:szCs w:val="20"/>
        </w:rPr>
        <w:t>ą</w:t>
      </w:r>
      <w:r>
        <w:rPr>
          <w:rFonts w:ascii="Arial" w:hAnsi="Arial" w:cs="Arial"/>
          <w:sz w:val="20"/>
          <w:szCs w:val="20"/>
        </w:rPr>
        <w:t>c</w:t>
      </w:r>
      <w:r w:rsidR="005751E1">
        <w:rPr>
          <w:rFonts w:ascii="Arial" w:hAnsi="Arial" w:cs="Arial"/>
          <w:sz w:val="20"/>
          <w:szCs w:val="20"/>
        </w:rPr>
        <w:t>e i więcej</w:t>
      </w:r>
      <w:r w:rsidR="00BE53D0" w:rsidRPr="006A6569">
        <w:rPr>
          <w:rFonts w:ascii="Arial" w:hAnsi="Arial" w:cs="Arial"/>
          <w:sz w:val="20"/>
          <w:szCs w:val="20"/>
        </w:rPr>
        <w:t xml:space="preserve"> - 1</w:t>
      </w:r>
      <w:r>
        <w:rPr>
          <w:rFonts w:ascii="Arial" w:hAnsi="Arial" w:cs="Arial"/>
          <w:sz w:val="20"/>
          <w:szCs w:val="20"/>
        </w:rPr>
        <w:t>0</w:t>
      </w:r>
      <w:r w:rsidR="00BE53D0" w:rsidRPr="006A6569">
        <w:rPr>
          <w:rFonts w:ascii="Arial" w:hAnsi="Arial" w:cs="Arial"/>
          <w:sz w:val="20"/>
          <w:szCs w:val="20"/>
        </w:rPr>
        <w:t xml:space="preserve"> pkt.</w:t>
      </w:r>
    </w:p>
    <w:p w:rsidR="00BE53D0" w:rsidRDefault="00BE53D0" w:rsidP="00BE53D0">
      <w:pPr>
        <w:spacing w:line="360" w:lineRule="auto"/>
        <w:ind w:left="567"/>
        <w:jc w:val="both"/>
        <w:rPr>
          <w:rFonts w:ascii="Arial" w:hAnsi="Arial" w:cs="Arial"/>
          <w:sz w:val="20"/>
          <w:szCs w:val="20"/>
        </w:rPr>
      </w:pPr>
      <w:r w:rsidRPr="006A6569">
        <w:rPr>
          <w:rFonts w:ascii="Arial" w:hAnsi="Arial" w:cs="Arial"/>
          <w:sz w:val="20"/>
          <w:szCs w:val="20"/>
        </w:rPr>
        <w:t xml:space="preserve">Maksymalna ilość punktów: </w:t>
      </w:r>
      <w:r w:rsidR="00E555F2">
        <w:rPr>
          <w:rFonts w:ascii="Arial" w:hAnsi="Arial" w:cs="Arial"/>
          <w:sz w:val="20"/>
          <w:szCs w:val="20"/>
        </w:rPr>
        <w:t>10</w:t>
      </w:r>
      <w:r w:rsidRPr="006A6569">
        <w:rPr>
          <w:rFonts w:ascii="Arial" w:hAnsi="Arial" w:cs="Arial"/>
          <w:sz w:val="20"/>
          <w:szCs w:val="20"/>
        </w:rPr>
        <w:t>.</w:t>
      </w:r>
    </w:p>
    <w:p w:rsidR="005751E1" w:rsidRPr="007244E3" w:rsidRDefault="005751E1" w:rsidP="007244E3">
      <w:pPr>
        <w:pStyle w:val="Akapitzlist"/>
        <w:numPr>
          <w:ilvl w:val="2"/>
          <w:numId w:val="7"/>
        </w:numPr>
        <w:tabs>
          <w:tab w:val="clear" w:pos="3048"/>
        </w:tabs>
        <w:spacing w:line="360" w:lineRule="auto"/>
        <w:ind w:left="567" w:hanging="283"/>
        <w:jc w:val="both"/>
        <w:rPr>
          <w:rFonts w:ascii="Arial" w:hAnsi="Arial" w:cs="Arial"/>
          <w:sz w:val="20"/>
          <w:szCs w:val="20"/>
        </w:rPr>
      </w:pPr>
      <w:r w:rsidRPr="007244E3">
        <w:rPr>
          <w:rFonts w:ascii="Arial" w:hAnsi="Arial" w:cs="Arial"/>
          <w:sz w:val="20"/>
          <w:szCs w:val="20"/>
        </w:rPr>
        <w:t>Termin dostawy PD:</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do 8 tygodni – 10 pkt.</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od 8 tygodni i jednego dnia do 10 tygodni – 1 pkt.</w:t>
      </w:r>
    </w:p>
    <w:p w:rsidR="005751E1" w:rsidRPr="007244E3" w:rsidRDefault="007244E3" w:rsidP="007244E3">
      <w:pPr>
        <w:pStyle w:val="Akapitzlist"/>
        <w:numPr>
          <w:ilvl w:val="2"/>
          <w:numId w:val="7"/>
        </w:numPr>
        <w:tabs>
          <w:tab w:val="clear" w:pos="3048"/>
          <w:tab w:val="num" w:pos="-567"/>
        </w:tabs>
        <w:spacing w:line="360" w:lineRule="auto"/>
        <w:ind w:left="567" w:hanging="283"/>
        <w:jc w:val="both"/>
        <w:rPr>
          <w:rFonts w:ascii="Arial" w:hAnsi="Arial" w:cs="Arial"/>
          <w:sz w:val="20"/>
          <w:szCs w:val="20"/>
        </w:rPr>
      </w:pPr>
      <w:r w:rsidRPr="007244E3">
        <w:rPr>
          <w:rFonts w:ascii="Arial" w:hAnsi="Arial" w:cs="Arial"/>
          <w:sz w:val="20"/>
          <w:szCs w:val="20"/>
        </w:rPr>
        <w:t>Wymiana modułu impedancyjnego – PW:</w:t>
      </w:r>
    </w:p>
    <w:p w:rsidR="007244E3" w:rsidRDefault="007244E3" w:rsidP="00BE53D0">
      <w:pPr>
        <w:spacing w:line="360" w:lineRule="auto"/>
        <w:ind w:left="567"/>
        <w:jc w:val="both"/>
        <w:rPr>
          <w:rFonts w:ascii="Arial" w:hAnsi="Arial" w:cs="Arial"/>
          <w:sz w:val="20"/>
          <w:szCs w:val="20"/>
        </w:rPr>
      </w:pPr>
      <w:r>
        <w:rPr>
          <w:rFonts w:ascii="Arial" w:hAnsi="Arial" w:cs="Arial"/>
          <w:sz w:val="20"/>
          <w:szCs w:val="20"/>
        </w:rPr>
        <w:t xml:space="preserve">Urządzenie umożliwia </w:t>
      </w:r>
      <w:r w:rsidRPr="007244E3">
        <w:rPr>
          <w:rFonts w:ascii="Arial" w:hAnsi="Arial" w:cs="Arial"/>
          <w:sz w:val="20"/>
          <w:szCs w:val="20"/>
        </w:rPr>
        <w:t xml:space="preserve">wymianę wbudowanego modułu impedancyjnego na jeden </w:t>
      </w:r>
      <w:r>
        <w:rPr>
          <w:rFonts w:ascii="Arial" w:hAnsi="Arial" w:cs="Arial"/>
          <w:sz w:val="20"/>
          <w:szCs w:val="20"/>
        </w:rPr>
        <w:br/>
      </w:r>
      <w:r w:rsidRPr="007244E3">
        <w:rPr>
          <w:rFonts w:ascii="Arial" w:hAnsi="Arial" w:cs="Arial"/>
          <w:sz w:val="20"/>
          <w:szCs w:val="20"/>
        </w:rPr>
        <w:t xml:space="preserve">z wymienionych: moduł multipleksera, moduł </w:t>
      </w:r>
      <w:proofErr w:type="spellStart"/>
      <w:r w:rsidRPr="007244E3">
        <w:rPr>
          <w:rFonts w:ascii="Arial" w:hAnsi="Arial" w:cs="Arial"/>
          <w:sz w:val="20"/>
          <w:szCs w:val="20"/>
        </w:rPr>
        <w:t>bipotencjostatu</w:t>
      </w:r>
      <w:proofErr w:type="spellEnd"/>
      <w:r w:rsidRPr="007244E3">
        <w:rPr>
          <w:rFonts w:ascii="Arial" w:hAnsi="Arial" w:cs="Arial"/>
          <w:sz w:val="20"/>
          <w:szCs w:val="20"/>
        </w:rPr>
        <w:t xml:space="preserve">, moduł do monitorowania stężeń jonów, </w:t>
      </w:r>
      <w:proofErr w:type="spellStart"/>
      <w:r w:rsidRPr="007244E3">
        <w:rPr>
          <w:rFonts w:ascii="Arial" w:hAnsi="Arial" w:cs="Arial"/>
          <w:sz w:val="20"/>
          <w:szCs w:val="20"/>
        </w:rPr>
        <w:t>pH</w:t>
      </w:r>
      <w:proofErr w:type="spellEnd"/>
      <w:r w:rsidRPr="007244E3">
        <w:rPr>
          <w:rFonts w:ascii="Arial" w:hAnsi="Arial" w:cs="Arial"/>
          <w:sz w:val="20"/>
          <w:szCs w:val="20"/>
        </w:rPr>
        <w:t xml:space="preserve"> i temperatury, lub moduł mikrowagi kwarcowej</w:t>
      </w:r>
      <w:r>
        <w:rPr>
          <w:rFonts w:ascii="Arial" w:hAnsi="Arial" w:cs="Arial"/>
          <w:sz w:val="20"/>
          <w:szCs w:val="20"/>
        </w:rPr>
        <w:t xml:space="preserve"> – 10 pkt.</w:t>
      </w:r>
    </w:p>
    <w:p w:rsidR="007244E3" w:rsidRPr="007244E3" w:rsidRDefault="007244E3" w:rsidP="00BE53D0">
      <w:pPr>
        <w:spacing w:line="360" w:lineRule="auto"/>
        <w:ind w:left="567"/>
        <w:jc w:val="both"/>
        <w:rPr>
          <w:rFonts w:ascii="Arial" w:hAnsi="Arial" w:cs="Arial"/>
          <w:sz w:val="20"/>
          <w:szCs w:val="20"/>
        </w:rPr>
      </w:pPr>
      <w:r>
        <w:rPr>
          <w:rFonts w:ascii="Arial" w:hAnsi="Arial" w:cs="Arial"/>
          <w:sz w:val="20"/>
          <w:szCs w:val="20"/>
        </w:rPr>
        <w:t>Nie umożliwia – 0 pkt.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E555F2">
        <w:rPr>
          <w:rFonts w:ascii="Arial" w:hAnsi="Arial" w:cs="Arial"/>
          <w:sz w:val="20"/>
          <w:szCs w:val="20"/>
        </w:rPr>
        <w:t>G</w:t>
      </w:r>
      <w:r w:rsidR="005751E1">
        <w:rPr>
          <w:rFonts w:ascii="Arial" w:hAnsi="Arial" w:cs="Arial"/>
          <w:sz w:val="20"/>
          <w:szCs w:val="20"/>
        </w:rPr>
        <w:t xml:space="preserve"> + PD + PW</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7244E3" w:rsidRDefault="007244E3" w:rsidP="004134E2">
      <w:pPr>
        <w:spacing w:line="360" w:lineRule="auto"/>
        <w:ind w:left="567"/>
        <w:jc w:val="both"/>
        <w:rPr>
          <w:rFonts w:ascii="Arial" w:hAnsi="Arial" w:cs="Arial"/>
          <w:sz w:val="20"/>
          <w:szCs w:val="20"/>
        </w:rPr>
      </w:pPr>
    </w:p>
    <w:p w:rsidR="007244E3" w:rsidRDefault="007244E3" w:rsidP="004134E2">
      <w:pPr>
        <w:spacing w:line="360" w:lineRule="auto"/>
        <w:ind w:left="567"/>
        <w:jc w:val="both"/>
        <w:rPr>
          <w:rFonts w:ascii="Arial" w:hAnsi="Arial" w:cs="Arial"/>
          <w:sz w:val="20"/>
          <w:szCs w:val="20"/>
        </w:rPr>
      </w:pPr>
    </w:p>
    <w:p w:rsidR="007244E3" w:rsidRDefault="007244E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lastRenderedPageBreak/>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lastRenderedPageBreak/>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lastRenderedPageBreak/>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r>
      <w:r w:rsidRPr="00DA542D">
        <w:rPr>
          <w:rFonts w:ascii="Arial" w:hAnsi="Arial" w:cs="Arial"/>
          <w:sz w:val="20"/>
          <w:szCs w:val="20"/>
        </w:rPr>
        <w:lastRenderedPageBreak/>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B74BE8">
      <w:pPr>
        <w:numPr>
          <w:ilvl w:val="1"/>
          <w:numId w:val="5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B74BE8">
      <w:pPr>
        <w:numPr>
          <w:ilvl w:val="1"/>
          <w:numId w:val="54"/>
        </w:numPr>
        <w:tabs>
          <w:tab w:val="clear" w:pos="1440"/>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B74BE8">
      <w:pPr>
        <w:pStyle w:val="Akapitzlist"/>
        <w:numPr>
          <w:ilvl w:val="1"/>
          <w:numId w:val="54"/>
        </w:numPr>
        <w:tabs>
          <w:tab w:val="clear" w:pos="1440"/>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B74BE8" w:rsidRPr="00B74BE8" w:rsidRDefault="00B74BE8" w:rsidP="00B74BE8">
      <w:pPr>
        <w:pStyle w:val="Akapitzlist"/>
        <w:numPr>
          <w:ilvl w:val="1"/>
          <w:numId w:val="54"/>
        </w:numPr>
        <w:tabs>
          <w:tab w:val="clear" w:pos="1440"/>
          <w:tab w:val="left" w:pos="9072"/>
        </w:tabs>
        <w:suppressAutoHyphens/>
        <w:spacing w:line="360" w:lineRule="auto"/>
        <w:ind w:left="284" w:hanging="284"/>
        <w:jc w:val="both"/>
        <w:rPr>
          <w:rFonts w:ascii="Arial" w:hAnsi="Arial" w:cs="Arial"/>
          <w:sz w:val="20"/>
          <w:szCs w:val="20"/>
        </w:rPr>
      </w:pPr>
      <w:r w:rsidRPr="00B74BE8">
        <w:rPr>
          <w:rFonts w:ascii="Arial" w:hAnsi="Arial" w:cs="Arial"/>
          <w:sz w:val="20"/>
          <w:szCs w:val="20"/>
        </w:rPr>
        <w:t xml:space="preserve">Wprowadzenie podwykonawcy na zasadach określonych w § 11 ust. 5 projektu umowy, w sytuacji </w:t>
      </w:r>
      <w:r w:rsidRPr="00B74BE8">
        <w:rPr>
          <w:rFonts w:ascii="Arial" w:hAnsi="Arial" w:cs="Arial"/>
          <w:sz w:val="20"/>
          <w:szCs w:val="20"/>
        </w:rPr>
        <w:br/>
        <w:t xml:space="preserve">gdy Wykonawca zadeklarował w ofercie wykonanie zamówienia własnymi siłami, będzie możliwe </w:t>
      </w:r>
      <w:r>
        <w:rPr>
          <w:rFonts w:ascii="Arial" w:hAnsi="Arial" w:cs="Arial"/>
          <w:sz w:val="20"/>
          <w:szCs w:val="20"/>
        </w:rPr>
        <w:br/>
      </w:r>
      <w:r w:rsidRPr="00B74BE8">
        <w:rPr>
          <w:rFonts w:ascii="Arial" w:hAnsi="Arial" w:cs="Arial"/>
          <w:sz w:val="20"/>
          <w:szCs w:val="20"/>
        </w:rPr>
        <w:t xml:space="preserve">w przypadku, gdy Wykonawca powiadomi o tym fakcie Zamawiającego, wskazując przyczynę </w:t>
      </w:r>
      <w:r w:rsidRPr="00B74BE8">
        <w:rPr>
          <w:rFonts w:ascii="Arial" w:hAnsi="Arial" w:cs="Arial"/>
          <w:sz w:val="20"/>
          <w:szCs w:val="20"/>
        </w:rPr>
        <w:br/>
        <w:t xml:space="preserve">i zakres podwykonawstwa, co wymaga wcześniejszej akceptacji Zamawiającego. </w:t>
      </w:r>
    </w:p>
    <w:p w:rsidR="001C4829" w:rsidRPr="00B74BE8" w:rsidRDefault="001C4829" w:rsidP="00B74BE8">
      <w:pPr>
        <w:pStyle w:val="Akapitzlist"/>
        <w:numPr>
          <w:ilvl w:val="1"/>
          <w:numId w:val="54"/>
        </w:numPr>
        <w:tabs>
          <w:tab w:val="clear" w:pos="1440"/>
          <w:tab w:val="num" w:pos="-851"/>
          <w:tab w:val="left" w:pos="0"/>
        </w:tabs>
        <w:spacing w:line="360" w:lineRule="auto"/>
        <w:ind w:left="284" w:hanging="284"/>
        <w:jc w:val="both"/>
        <w:rPr>
          <w:rFonts w:ascii="Arial" w:hAnsi="Arial" w:cs="Arial"/>
          <w:sz w:val="20"/>
          <w:szCs w:val="20"/>
        </w:rPr>
      </w:pPr>
      <w:r w:rsidRPr="00B74BE8">
        <w:rPr>
          <w:rFonts w:ascii="Arial" w:hAnsi="Arial" w:cs="Arial"/>
          <w:sz w:val="20"/>
          <w:szCs w:val="20"/>
        </w:rPr>
        <w:t>Wprowadzenie podwykonawcy nie może naruszać zapisów SIWZ i umowy na podstawie których dokonano wyboru oferty Wykonawcy.</w:t>
      </w:r>
    </w:p>
    <w:p w:rsidR="00A62E9A" w:rsidRDefault="00A62E9A"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7244E3" w:rsidRPr="00DA542D" w:rsidRDefault="007244E3"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F41D7F" w:rsidRPr="00DA542D" w:rsidRDefault="00F41D7F"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F41D7F" w:rsidRDefault="00F41D7F">
      <w:pPr>
        <w:rPr>
          <w:rFonts w:ascii="Arial" w:hAnsi="Arial" w:cs="Arial"/>
          <w:sz w:val="20"/>
          <w:szCs w:val="20"/>
        </w:rPr>
      </w:pPr>
      <w:bookmarkStart w:id="26" w:name="_GoBack"/>
      <w:bookmarkEnd w:id="26"/>
    </w:p>
    <w:sectPr w:rsidR="00F41D7F"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8A" w:rsidRDefault="00B74C8A" w:rsidP="00245CEA">
      <w:pPr>
        <w:spacing w:line="240" w:lineRule="auto"/>
      </w:pPr>
      <w:r>
        <w:separator/>
      </w:r>
    </w:p>
  </w:endnote>
  <w:endnote w:type="continuationSeparator" w:id="0">
    <w:p w:rsidR="00B74C8A" w:rsidRDefault="00B74C8A"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8A" w:rsidRDefault="00B74C8A"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B74C8A" w:rsidRDefault="00B74C8A" w:rsidP="00432D38">
    <w:pPr>
      <w:pStyle w:val="Stopka"/>
      <w:tabs>
        <w:tab w:val="left" w:pos="2175"/>
      </w:tabs>
      <w:jc w:val="center"/>
      <w:rPr>
        <w:rFonts w:ascii="Calibri" w:eastAsia="Calibri" w:hAnsi="Calibri"/>
        <w:sz w:val="16"/>
        <w:szCs w:val="16"/>
      </w:rPr>
    </w:pPr>
    <w:r>
      <w:rPr>
        <w:rFonts w:ascii="Calibri" w:eastAsia="Calibri" w:hAnsi="Calibri"/>
        <w:sz w:val="16"/>
        <w:szCs w:val="16"/>
      </w:rPr>
      <w:t xml:space="preserve">Uniwersytet Gdański Dział Zamówień Publicznych, 80-309 Gdańsk,  ul. </w:t>
    </w:r>
    <w:r w:rsidR="008062BC">
      <w:rPr>
        <w:rFonts w:ascii="Calibri" w:eastAsia="Calibri" w:hAnsi="Calibri"/>
        <w:sz w:val="16"/>
        <w:szCs w:val="16"/>
      </w:rPr>
      <w:t xml:space="preserve">Jana </w:t>
    </w:r>
    <w:r>
      <w:rPr>
        <w:rFonts w:ascii="Calibri" w:eastAsia="Calibri" w:hAnsi="Calibri"/>
        <w:sz w:val="16"/>
        <w:szCs w:val="16"/>
      </w:rPr>
      <w:t>Bażyńskiego 8</w:t>
    </w:r>
  </w:p>
  <w:p w:rsidR="00B74C8A" w:rsidRDefault="00B74C8A"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E42EE">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8A" w:rsidRDefault="00B74C8A" w:rsidP="00245CEA">
      <w:pPr>
        <w:spacing w:line="240" w:lineRule="auto"/>
      </w:pPr>
      <w:r>
        <w:separator/>
      </w:r>
    </w:p>
  </w:footnote>
  <w:footnote w:type="continuationSeparator" w:id="0">
    <w:p w:rsidR="00B74C8A" w:rsidRDefault="00B74C8A"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8A" w:rsidRDefault="00B74C8A"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96/16</w:t>
    </w:r>
    <w:r w:rsidRPr="00DA542D">
      <w:rPr>
        <w:sz w:val="16"/>
        <w:szCs w:val="16"/>
      </w:rPr>
      <w:t>/JC</w:t>
    </w:r>
  </w:p>
  <w:p w:rsidR="00B74C8A" w:rsidRDefault="00B74C8A"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864A35E2"/>
    <w:lvl w:ilvl="0" w:tplc="FA38CB34">
      <w:start w:val="1"/>
      <w:numFmt w:val="decimal"/>
      <w:lvlText w:val="%1."/>
      <w:lvlJc w:val="left"/>
      <w:pPr>
        <w:ind w:left="108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3">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4">
    <w:nsid w:val="40B64DB2"/>
    <w:multiLevelType w:val="hybridMultilevel"/>
    <w:tmpl w:val="E7F68960"/>
    <w:lvl w:ilvl="0" w:tplc="FA38CB34">
      <w:start w:val="1"/>
      <w:numFmt w:val="decimal"/>
      <w:lvlText w:val="%1."/>
      <w:lvlJc w:val="left"/>
      <w:pPr>
        <w:ind w:left="1080" w:hanging="360"/>
      </w:pPr>
      <w:rPr>
        <w:rFonts w:cs="Times New Roman"/>
      </w:rPr>
    </w:lvl>
    <w:lvl w:ilvl="1" w:tplc="82BCFC2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0">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3">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1">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2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1"/>
  </w:num>
  <w:num w:numId="16">
    <w:abstractNumId w:val="7"/>
  </w:num>
  <w:num w:numId="17">
    <w:abstractNumId w:val="29"/>
  </w:num>
  <w:num w:numId="18">
    <w:abstractNumId w:val="49"/>
  </w:num>
  <w:num w:numId="19">
    <w:abstractNumId w:val="8"/>
  </w:num>
  <w:num w:numId="20">
    <w:abstractNumId w:val="43"/>
  </w:num>
  <w:num w:numId="21">
    <w:abstractNumId w:val="51"/>
  </w:num>
  <w:num w:numId="22">
    <w:abstractNumId w:val="30"/>
  </w:num>
  <w:num w:numId="23">
    <w:abstractNumId w:val="3"/>
  </w:num>
  <w:num w:numId="24">
    <w:abstractNumId w:val="4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8"/>
  </w:num>
  <w:num w:numId="28">
    <w:abstractNumId w:val="20"/>
  </w:num>
  <w:num w:numId="29">
    <w:abstractNumId w:val="31"/>
  </w:num>
  <w:num w:numId="30">
    <w:abstractNumId w:val="40"/>
  </w:num>
  <w:num w:numId="31">
    <w:abstractNumId w:val="16"/>
  </w:num>
  <w:num w:numId="32">
    <w:abstractNumId w:val="23"/>
  </w:num>
  <w:num w:numId="33">
    <w:abstractNumId w:val="15"/>
  </w:num>
  <w:num w:numId="34">
    <w:abstractNumId w:val="11"/>
  </w:num>
  <w:num w:numId="35">
    <w:abstractNumId w:val="37"/>
  </w:num>
  <w:num w:numId="36">
    <w:abstractNumId w:val="39"/>
  </w:num>
  <w:num w:numId="37">
    <w:abstractNumId w:val="26"/>
  </w:num>
  <w:num w:numId="38">
    <w:abstractNumId w:val="50"/>
  </w:num>
  <w:num w:numId="39">
    <w:abstractNumId w:val="6"/>
  </w:num>
  <w:num w:numId="40">
    <w:abstractNumId w:val="21"/>
  </w:num>
  <w:num w:numId="41">
    <w:abstractNumId w:val="14"/>
  </w:num>
  <w:num w:numId="42">
    <w:abstractNumId w:val="1"/>
    <w:lvlOverride w:ilvl="0">
      <w:startOverride w:val="1"/>
    </w:lvlOverride>
  </w:num>
  <w:num w:numId="4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3"/>
  </w:num>
  <w:num w:numId="47">
    <w:abstractNumId w:val="42"/>
  </w:num>
  <w:num w:numId="48">
    <w:abstractNumId w:val="4"/>
  </w:num>
  <w:num w:numId="49">
    <w:abstractNumId w:val="36"/>
  </w:num>
  <w:num w:numId="50">
    <w:abstractNumId w:val="12"/>
  </w:num>
  <w:num w:numId="51">
    <w:abstractNumId w:val="45"/>
  </w:num>
  <w:num w:numId="52">
    <w:abstractNumId w:val="27"/>
  </w:num>
  <w:num w:numId="53">
    <w:abstractNumId w:val="2"/>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85474"/>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2497"/>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D1B27"/>
    <w:rsid w:val="001E155F"/>
    <w:rsid w:val="00202AF9"/>
    <w:rsid w:val="00202DFA"/>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3C63"/>
    <w:rsid w:val="002C62A1"/>
    <w:rsid w:val="002C6BA5"/>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4EBF"/>
    <w:rsid w:val="0033670C"/>
    <w:rsid w:val="00344000"/>
    <w:rsid w:val="003451E7"/>
    <w:rsid w:val="0034568A"/>
    <w:rsid w:val="003548BE"/>
    <w:rsid w:val="0036249F"/>
    <w:rsid w:val="00367848"/>
    <w:rsid w:val="00374E47"/>
    <w:rsid w:val="003769A2"/>
    <w:rsid w:val="00376E6A"/>
    <w:rsid w:val="00380813"/>
    <w:rsid w:val="0038162C"/>
    <w:rsid w:val="00387C45"/>
    <w:rsid w:val="00390E8D"/>
    <w:rsid w:val="00392BEE"/>
    <w:rsid w:val="003956E2"/>
    <w:rsid w:val="00396988"/>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751E1"/>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6F48"/>
    <w:rsid w:val="00627E03"/>
    <w:rsid w:val="0063186B"/>
    <w:rsid w:val="0063230E"/>
    <w:rsid w:val="0063285D"/>
    <w:rsid w:val="00644CAD"/>
    <w:rsid w:val="00645512"/>
    <w:rsid w:val="00653BE0"/>
    <w:rsid w:val="00655BE1"/>
    <w:rsid w:val="00656484"/>
    <w:rsid w:val="006611C6"/>
    <w:rsid w:val="00665751"/>
    <w:rsid w:val="006675A8"/>
    <w:rsid w:val="00673064"/>
    <w:rsid w:val="00675A2E"/>
    <w:rsid w:val="0068005C"/>
    <w:rsid w:val="0068138A"/>
    <w:rsid w:val="00686606"/>
    <w:rsid w:val="00692721"/>
    <w:rsid w:val="00696A6F"/>
    <w:rsid w:val="00696D95"/>
    <w:rsid w:val="006A6569"/>
    <w:rsid w:val="006B3BDD"/>
    <w:rsid w:val="006C0144"/>
    <w:rsid w:val="006C2BE4"/>
    <w:rsid w:val="006C4E98"/>
    <w:rsid w:val="006C71F5"/>
    <w:rsid w:val="006D1687"/>
    <w:rsid w:val="006D560F"/>
    <w:rsid w:val="006E36FB"/>
    <w:rsid w:val="006E6B46"/>
    <w:rsid w:val="006F788D"/>
    <w:rsid w:val="00704A0F"/>
    <w:rsid w:val="00704B92"/>
    <w:rsid w:val="007054CD"/>
    <w:rsid w:val="0070725B"/>
    <w:rsid w:val="00707727"/>
    <w:rsid w:val="007078F2"/>
    <w:rsid w:val="0071733D"/>
    <w:rsid w:val="007202E2"/>
    <w:rsid w:val="00720ADC"/>
    <w:rsid w:val="007244E3"/>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062BC"/>
    <w:rsid w:val="00810134"/>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6018"/>
    <w:rsid w:val="008A36C5"/>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A2E37"/>
    <w:rsid w:val="009A4B8D"/>
    <w:rsid w:val="009A5FC5"/>
    <w:rsid w:val="009B02DA"/>
    <w:rsid w:val="009B1598"/>
    <w:rsid w:val="009B37AA"/>
    <w:rsid w:val="009B465C"/>
    <w:rsid w:val="009B63C3"/>
    <w:rsid w:val="009C6FAE"/>
    <w:rsid w:val="009E390C"/>
    <w:rsid w:val="009E42EE"/>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7A9"/>
    <w:rsid w:val="00AE7F7C"/>
    <w:rsid w:val="00AF0344"/>
    <w:rsid w:val="00AF0F5A"/>
    <w:rsid w:val="00AF7883"/>
    <w:rsid w:val="00B11DFE"/>
    <w:rsid w:val="00B1466B"/>
    <w:rsid w:val="00B21D16"/>
    <w:rsid w:val="00B24AAC"/>
    <w:rsid w:val="00B31994"/>
    <w:rsid w:val="00B3531B"/>
    <w:rsid w:val="00B43A05"/>
    <w:rsid w:val="00B55380"/>
    <w:rsid w:val="00B55812"/>
    <w:rsid w:val="00B567E9"/>
    <w:rsid w:val="00B62622"/>
    <w:rsid w:val="00B72760"/>
    <w:rsid w:val="00B74BE8"/>
    <w:rsid w:val="00B74C8A"/>
    <w:rsid w:val="00B75514"/>
    <w:rsid w:val="00B86319"/>
    <w:rsid w:val="00B86A22"/>
    <w:rsid w:val="00B924AB"/>
    <w:rsid w:val="00B92723"/>
    <w:rsid w:val="00B94A58"/>
    <w:rsid w:val="00BA5603"/>
    <w:rsid w:val="00BA796C"/>
    <w:rsid w:val="00BB0340"/>
    <w:rsid w:val="00BB122B"/>
    <w:rsid w:val="00BB5B40"/>
    <w:rsid w:val="00BB60AB"/>
    <w:rsid w:val="00BC14F9"/>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16DB"/>
    <w:rsid w:val="00C62A7E"/>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211E5"/>
    <w:rsid w:val="00D34749"/>
    <w:rsid w:val="00D36714"/>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A0F12"/>
    <w:rsid w:val="00EA2964"/>
    <w:rsid w:val="00EB360B"/>
    <w:rsid w:val="00EC0307"/>
    <w:rsid w:val="00EC6716"/>
    <w:rsid w:val="00ED290F"/>
    <w:rsid w:val="00ED5873"/>
    <w:rsid w:val="00EE3EB4"/>
    <w:rsid w:val="00EF0CC2"/>
    <w:rsid w:val="00EF131C"/>
    <w:rsid w:val="00EF65E4"/>
    <w:rsid w:val="00F01632"/>
    <w:rsid w:val="00F04CB7"/>
    <w:rsid w:val="00F0741B"/>
    <w:rsid w:val="00F07A6E"/>
    <w:rsid w:val="00F07B5C"/>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483C"/>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97023F78-F8E8-42BF-BE1E-4426F914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49BC0A8D</Template>
  <TotalTime>2</TotalTime>
  <Pages>21</Pages>
  <Words>7394</Words>
  <Characters>44369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2016-06-21T08:42:00Z</cp:lastPrinted>
  <dcterms:created xsi:type="dcterms:W3CDTF">2016-06-30T11:04:00Z</dcterms:created>
  <dcterms:modified xsi:type="dcterms:W3CDTF">2016-06-30T11:06:00Z</dcterms:modified>
</cp:coreProperties>
</file>