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A0" w:rsidRPr="00675FE0" w:rsidRDefault="00BC73A0" w:rsidP="00BC73A0">
      <w:pPr>
        <w:jc w:val="right"/>
        <w:rPr>
          <w:rFonts w:ascii="Arial" w:hAnsi="Arial" w:cs="Arial"/>
        </w:rPr>
      </w:pPr>
      <w:r w:rsidRPr="00675FE0">
        <w:rPr>
          <w:rFonts w:ascii="Arial" w:hAnsi="Arial" w:cs="Arial"/>
        </w:rPr>
        <w:t xml:space="preserve">Gdańsk, dnia </w:t>
      </w:r>
      <w:r w:rsidR="00AC320D">
        <w:rPr>
          <w:rFonts w:ascii="Arial" w:hAnsi="Arial" w:cs="Arial"/>
        </w:rPr>
        <w:t>1</w:t>
      </w:r>
      <w:r w:rsidR="00C20BDA">
        <w:rPr>
          <w:rFonts w:ascii="Arial" w:hAnsi="Arial" w:cs="Arial"/>
        </w:rPr>
        <w:t>5</w:t>
      </w:r>
      <w:r w:rsidR="00AC320D">
        <w:rPr>
          <w:rFonts w:ascii="Arial" w:hAnsi="Arial" w:cs="Arial"/>
        </w:rPr>
        <w:t>.07</w:t>
      </w:r>
      <w:r w:rsidRPr="00675FE0">
        <w:rPr>
          <w:rFonts w:ascii="Arial" w:hAnsi="Arial" w:cs="Arial"/>
        </w:rPr>
        <w:t>.2016 r.</w:t>
      </w:r>
    </w:p>
    <w:p w:rsidR="00BC73A0" w:rsidRPr="00675FE0" w:rsidRDefault="00BC73A0" w:rsidP="00BC73A0">
      <w:pPr>
        <w:rPr>
          <w:rFonts w:ascii="Arial" w:hAnsi="Arial" w:cs="Arial"/>
          <w:b/>
        </w:rPr>
      </w:pPr>
      <w:r w:rsidRPr="00675FE0">
        <w:rPr>
          <w:rFonts w:ascii="Arial" w:hAnsi="Arial" w:cs="Arial"/>
          <w:b/>
        </w:rPr>
        <w:t>DO WYKONAWCÓW</w:t>
      </w:r>
    </w:p>
    <w:p w:rsidR="00BC73A0" w:rsidRPr="00675FE0" w:rsidRDefault="00BC73A0" w:rsidP="00BC73A0">
      <w:pPr>
        <w:jc w:val="right"/>
        <w:rPr>
          <w:rFonts w:ascii="Arial" w:hAnsi="Arial" w:cs="Arial"/>
        </w:rPr>
      </w:pPr>
    </w:p>
    <w:p w:rsidR="005E43F9" w:rsidRPr="005E43F9" w:rsidRDefault="00BC73A0" w:rsidP="005E43F9">
      <w:pPr>
        <w:spacing w:after="0" w:line="360" w:lineRule="auto"/>
        <w:jc w:val="both"/>
        <w:rPr>
          <w:rFonts w:ascii="Arial" w:hAnsi="Arial" w:cs="Arial"/>
          <w:i/>
        </w:rPr>
      </w:pPr>
      <w:r w:rsidRPr="005E43F9">
        <w:rPr>
          <w:rFonts w:ascii="Arial" w:hAnsi="Arial" w:cs="Arial"/>
          <w:i/>
        </w:rPr>
        <w:t xml:space="preserve">Dotyczy postępowania o zamówienie publiczne na </w:t>
      </w:r>
      <w:r w:rsidR="00A223C4" w:rsidRPr="005E43F9">
        <w:rPr>
          <w:rFonts w:ascii="Arial" w:hAnsi="Arial" w:cs="Arial"/>
          <w:i/>
        </w:rPr>
        <w:t xml:space="preserve">dostawę </w:t>
      </w:r>
      <w:proofErr w:type="spellStart"/>
      <w:r w:rsidR="00AC320D">
        <w:rPr>
          <w:rFonts w:ascii="Arial" w:hAnsi="Arial" w:cs="Arial"/>
          <w:i/>
        </w:rPr>
        <w:t>galwanostatu</w:t>
      </w:r>
      <w:proofErr w:type="spellEnd"/>
      <w:r w:rsidR="00AC320D">
        <w:rPr>
          <w:rFonts w:ascii="Arial" w:hAnsi="Arial" w:cs="Arial"/>
          <w:i/>
        </w:rPr>
        <w:t xml:space="preserve"> – potencjostatu dla Wydziału Chemii Uniwersytetu Gdańskiego</w:t>
      </w:r>
      <w:r w:rsidR="005E43F9" w:rsidRPr="005E43F9">
        <w:rPr>
          <w:rFonts w:ascii="Arial" w:hAnsi="Arial" w:cs="Arial"/>
          <w:i/>
        </w:rPr>
        <w:t xml:space="preserve"> </w:t>
      </w:r>
    </w:p>
    <w:p w:rsidR="005E43F9" w:rsidRPr="005E43F9" w:rsidRDefault="00CD0904" w:rsidP="005E43F9">
      <w:pPr>
        <w:spacing w:after="0" w:line="360" w:lineRule="auto"/>
        <w:jc w:val="both"/>
        <w:rPr>
          <w:rFonts w:ascii="Arial" w:hAnsi="Arial" w:cs="Arial"/>
          <w:i/>
        </w:rPr>
      </w:pPr>
      <w:r>
        <w:rPr>
          <w:rFonts w:ascii="Arial" w:hAnsi="Arial" w:cs="Arial"/>
          <w:i/>
        </w:rPr>
        <w:t>o</w:t>
      </w:r>
      <w:r w:rsidR="005E43F9" w:rsidRPr="005E43F9">
        <w:rPr>
          <w:rFonts w:ascii="Arial" w:hAnsi="Arial" w:cs="Arial"/>
          <w:i/>
        </w:rPr>
        <w:t>głoszon</w:t>
      </w:r>
      <w:r>
        <w:rPr>
          <w:rFonts w:ascii="Arial" w:hAnsi="Arial" w:cs="Arial"/>
          <w:i/>
        </w:rPr>
        <w:t>ego</w:t>
      </w:r>
      <w:r w:rsidR="005E43F9" w:rsidRPr="005E43F9">
        <w:rPr>
          <w:rFonts w:ascii="Arial" w:hAnsi="Arial" w:cs="Arial"/>
          <w:i/>
        </w:rPr>
        <w:t xml:space="preserve"> w Biuletynie Zamówień Publicznych dnia </w:t>
      </w:r>
      <w:r w:rsidR="00AC320D">
        <w:rPr>
          <w:rFonts w:ascii="Arial" w:hAnsi="Arial" w:cs="Arial"/>
          <w:i/>
        </w:rPr>
        <w:t>30.06.2016</w:t>
      </w:r>
      <w:r w:rsidR="005E43F9" w:rsidRPr="005E43F9">
        <w:rPr>
          <w:rFonts w:ascii="Arial" w:hAnsi="Arial" w:cs="Arial"/>
          <w:i/>
        </w:rPr>
        <w:t xml:space="preserve">.2016 roku pod numerem </w:t>
      </w:r>
      <w:r w:rsidR="00AC320D">
        <w:rPr>
          <w:rStyle w:val="text"/>
          <w:rFonts w:ascii="Arial" w:hAnsi="Arial" w:cs="Arial"/>
          <w:i/>
        </w:rPr>
        <w:t>112603</w:t>
      </w:r>
      <w:r w:rsidR="005E43F9" w:rsidRPr="005E43F9">
        <w:rPr>
          <w:rStyle w:val="text"/>
          <w:rFonts w:ascii="Arial" w:hAnsi="Arial" w:cs="Arial"/>
          <w:i/>
        </w:rPr>
        <w:t>-2016</w:t>
      </w:r>
    </w:p>
    <w:p w:rsidR="00BC73A0" w:rsidRPr="00675FE0" w:rsidRDefault="00BC73A0" w:rsidP="00BC73A0">
      <w:pPr>
        <w:spacing w:after="0" w:line="360" w:lineRule="auto"/>
        <w:jc w:val="both"/>
        <w:rPr>
          <w:rFonts w:ascii="Arial" w:eastAsia="Times New Roman" w:hAnsi="Arial" w:cs="Arial"/>
          <w:lang w:eastAsia="pl-PL"/>
        </w:rPr>
      </w:pPr>
    </w:p>
    <w:p w:rsidR="00BC73A0" w:rsidRDefault="00BC73A0" w:rsidP="00BC73A0">
      <w:pPr>
        <w:suppressAutoHyphens/>
        <w:spacing w:after="120" w:line="360" w:lineRule="auto"/>
        <w:ind w:left="284" w:firstLine="709"/>
        <w:contextualSpacing/>
        <w:rPr>
          <w:rFonts w:ascii="Arial" w:eastAsia="Times New Roman" w:hAnsi="Arial" w:cs="Arial"/>
          <w:lang w:eastAsia="ar-SA"/>
        </w:rPr>
      </w:pPr>
      <w:r w:rsidRPr="00675FE0">
        <w:rPr>
          <w:rFonts w:ascii="Arial" w:eastAsia="Times New Roman" w:hAnsi="Arial" w:cs="Arial"/>
          <w:lang w:val="x-none" w:eastAsia="ar-SA"/>
        </w:rPr>
        <w:t>Zamawiający na podstawie art. 38 ust.1 i 2 ustawy Prawo zamówień publicznych  udziela uczestnikom postępowania odpowiedzi na zadane pytani</w:t>
      </w:r>
      <w:r w:rsidR="00B43385">
        <w:rPr>
          <w:rFonts w:ascii="Arial" w:eastAsia="Times New Roman" w:hAnsi="Arial" w:cs="Arial"/>
          <w:lang w:eastAsia="ar-SA"/>
        </w:rPr>
        <w:t>e</w:t>
      </w:r>
      <w:r w:rsidRPr="00675FE0">
        <w:rPr>
          <w:rFonts w:ascii="Arial" w:eastAsia="Times New Roman" w:hAnsi="Arial" w:cs="Arial"/>
          <w:lang w:val="x-none" w:eastAsia="ar-SA"/>
        </w:rPr>
        <w:t>:</w:t>
      </w:r>
    </w:p>
    <w:p w:rsidR="00157084" w:rsidRPr="00157084" w:rsidRDefault="00157084" w:rsidP="00BC73A0">
      <w:pPr>
        <w:suppressAutoHyphens/>
        <w:spacing w:after="120" w:line="360" w:lineRule="auto"/>
        <w:ind w:left="284" w:firstLine="709"/>
        <w:contextualSpacing/>
        <w:rPr>
          <w:rFonts w:ascii="Arial" w:eastAsia="Times New Roman" w:hAnsi="Arial" w:cs="Arial"/>
          <w:lang w:eastAsia="ar-SA"/>
        </w:rPr>
      </w:pPr>
      <w:bookmarkStart w:id="0" w:name="_GoBack"/>
      <w:bookmarkEnd w:id="0"/>
    </w:p>
    <w:tbl>
      <w:tblPr>
        <w:tblStyle w:val="Tabela-Siatka"/>
        <w:tblW w:w="0" w:type="auto"/>
        <w:tblLook w:val="04A0" w:firstRow="1" w:lastRow="0" w:firstColumn="1" w:lastColumn="0" w:noHBand="0" w:noVBand="1"/>
      </w:tblPr>
      <w:tblGrid>
        <w:gridCol w:w="1101"/>
        <w:gridCol w:w="6095"/>
        <w:gridCol w:w="6948"/>
      </w:tblGrid>
      <w:tr w:rsidR="00C20BDA" w:rsidRPr="00C20BDA" w:rsidTr="00C20BDA">
        <w:tc>
          <w:tcPr>
            <w:tcW w:w="1101" w:type="dxa"/>
          </w:tcPr>
          <w:p w:rsidR="00C20BDA" w:rsidRPr="00C20BDA" w:rsidRDefault="00C20BDA" w:rsidP="00C20BDA">
            <w:pPr>
              <w:spacing w:line="360" w:lineRule="auto"/>
              <w:jc w:val="center"/>
              <w:rPr>
                <w:rFonts w:ascii="Tahoma" w:hAnsi="Tahoma" w:cs="Tahoma"/>
                <w:b/>
                <w:sz w:val="20"/>
                <w:szCs w:val="20"/>
              </w:rPr>
            </w:pPr>
            <w:r w:rsidRPr="00C20BDA">
              <w:rPr>
                <w:rFonts w:ascii="Tahoma" w:hAnsi="Tahoma" w:cs="Tahoma"/>
                <w:b/>
                <w:sz w:val="20"/>
                <w:szCs w:val="20"/>
              </w:rPr>
              <w:t>nr</w:t>
            </w:r>
          </w:p>
        </w:tc>
        <w:tc>
          <w:tcPr>
            <w:tcW w:w="6095" w:type="dxa"/>
          </w:tcPr>
          <w:p w:rsidR="00C20BDA" w:rsidRPr="00C20BDA" w:rsidRDefault="00C20BDA" w:rsidP="00C20BDA">
            <w:pPr>
              <w:spacing w:line="360" w:lineRule="auto"/>
              <w:jc w:val="center"/>
              <w:rPr>
                <w:rFonts w:ascii="Tahoma" w:hAnsi="Tahoma" w:cs="Tahoma"/>
                <w:b/>
                <w:sz w:val="20"/>
                <w:szCs w:val="20"/>
              </w:rPr>
            </w:pPr>
            <w:r w:rsidRPr="00C20BDA">
              <w:rPr>
                <w:rFonts w:ascii="Tahoma" w:hAnsi="Tahoma" w:cs="Tahoma"/>
                <w:b/>
                <w:sz w:val="20"/>
                <w:szCs w:val="20"/>
              </w:rPr>
              <w:t>Pytanie</w:t>
            </w:r>
          </w:p>
        </w:tc>
        <w:tc>
          <w:tcPr>
            <w:tcW w:w="6948" w:type="dxa"/>
          </w:tcPr>
          <w:p w:rsidR="00C20BDA" w:rsidRPr="00C20BDA" w:rsidRDefault="00C20BDA" w:rsidP="00C20BDA">
            <w:pPr>
              <w:spacing w:line="360" w:lineRule="auto"/>
              <w:jc w:val="center"/>
              <w:rPr>
                <w:rFonts w:ascii="Tahoma" w:hAnsi="Tahoma" w:cs="Tahoma"/>
                <w:b/>
                <w:sz w:val="20"/>
                <w:szCs w:val="20"/>
              </w:rPr>
            </w:pPr>
            <w:r w:rsidRPr="00C20BDA">
              <w:rPr>
                <w:rFonts w:ascii="Tahoma" w:hAnsi="Tahoma" w:cs="Tahoma"/>
                <w:b/>
                <w:sz w:val="20"/>
                <w:szCs w:val="20"/>
              </w:rPr>
              <w:t xml:space="preserve">Odpowiedź </w:t>
            </w:r>
            <w:r w:rsidR="00C515B9" w:rsidRPr="00C20BDA">
              <w:rPr>
                <w:rFonts w:ascii="Tahoma" w:hAnsi="Tahoma" w:cs="Tahoma"/>
                <w:b/>
                <w:sz w:val="20"/>
                <w:szCs w:val="20"/>
              </w:rPr>
              <w:t>Zamawiającego</w:t>
            </w:r>
          </w:p>
        </w:tc>
      </w:tr>
      <w:tr w:rsidR="00C20BDA" w:rsidRPr="00C515B9" w:rsidTr="00C20BDA">
        <w:tc>
          <w:tcPr>
            <w:tcW w:w="1101" w:type="dxa"/>
          </w:tcPr>
          <w:p w:rsidR="00C20BDA" w:rsidRPr="00C515B9" w:rsidRDefault="004713B1" w:rsidP="00C515B9">
            <w:pPr>
              <w:spacing w:line="360" w:lineRule="auto"/>
              <w:rPr>
                <w:rFonts w:ascii="Arial" w:hAnsi="Arial" w:cs="Arial"/>
              </w:rPr>
            </w:pPr>
            <w:r>
              <w:rPr>
                <w:rFonts w:ascii="Arial" w:hAnsi="Arial" w:cs="Arial"/>
              </w:rPr>
              <w:t>1</w:t>
            </w:r>
          </w:p>
        </w:tc>
        <w:tc>
          <w:tcPr>
            <w:tcW w:w="6095" w:type="dxa"/>
          </w:tcPr>
          <w:p w:rsidR="00435038" w:rsidRPr="00C515B9" w:rsidRDefault="00435038" w:rsidP="00D82DFF">
            <w:pPr>
              <w:spacing w:line="360" w:lineRule="auto"/>
              <w:ind w:left="175"/>
              <w:rPr>
                <w:rFonts w:ascii="Arial" w:eastAsia="Times New Roman" w:hAnsi="Arial" w:cs="Arial"/>
                <w:lang w:eastAsia="pl-PL"/>
              </w:rPr>
            </w:pPr>
            <w:r w:rsidRPr="00C515B9">
              <w:rPr>
                <w:rFonts w:ascii="Arial" w:hAnsi="Arial" w:cs="Arial"/>
              </w:rPr>
              <w:t>Ad.4) Czy dopuszczą Państwo aparat, którego oprogramowanie</w:t>
            </w:r>
            <w:r w:rsidRPr="00C515B9">
              <w:rPr>
                <w:rFonts w:ascii="Arial" w:eastAsia="Times New Roman" w:hAnsi="Arial" w:cs="Arial"/>
                <w:lang w:eastAsia="pl-PL"/>
              </w:rPr>
              <w:t xml:space="preserve"> nie umożliwia łączenia różnych typów pomiaru w sekwencje oraz automatycznego przetwarzania i analizy otrzymanych wyników. Oprogramowanie umożliwia tworzenie wykresów z otrzymanych danych pomiarowych, porównywanie ich na jednym wykresie, ale nie łączenie ich w wykresy 3D?</w:t>
            </w:r>
          </w:p>
          <w:p w:rsidR="00C20BDA" w:rsidRPr="00C515B9" w:rsidRDefault="00C20BDA" w:rsidP="00C515B9">
            <w:pPr>
              <w:spacing w:line="360" w:lineRule="auto"/>
              <w:rPr>
                <w:rFonts w:ascii="Arial" w:hAnsi="Arial" w:cs="Arial"/>
              </w:rPr>
            </w:pPr>
          </w:p>
        </w:tc>
        <w:tc>
          <w:tcPr>
            <w:tcW w:w="6948" w:type="dxa"/>
          </w:tcPr>
          <w:p w:rsidR="00C20BDA" w:rsidRPr="00D82DFF" w:rsidRDefault="00D82DFF" w:rsidP="00C515B9">
            <w:pPr>
              <w:spacing w:line="360" w:lineRule="auto"/>
              <w:rPr>
                <w:rFonts w:ascii="Arial" w:hAnsi="Arial" w:cs="Arial"/>
              </w:rPr>
            </w:pPr>
            <w:r>
              <w:rPr>
                <w:rFonts w:ascii="Arial" w:eastAsia="Times New Roman" w:hAnsi="Arial" w:cs="Arial"/>
                <w:lang w:eastAsia="pl-PL"/>
              </w:rPr>
              <w:t>N</w:t>
            </w:r>
            <w:r w:rsidRPr="00D82DFF">
              <w:rPr>
                <w:rFonts w:ascii="Arial" w:eastAsia="Times New Roman" w:hAnsi="Arial" w:cs="Arial"/>
                <w:lang w:eastAsia="pl-PL"/>
              </w:rPr>
              <w:t>ie dopuszczamy</w:t>
            </w:r>
            <w:r>
              <w:rPr>
                <w:rFonts w:ascii="Arial" w:eastAsia="Times New Roman" w:hAnsi="Arial" w:cs="Arial"/>
                <w:lang w:eastAsia="pl-PL"/>
              </w:rPr>
              <w:t>.</w:t>
            </w:r>
          </w:p>
        </w:tc>
      </w:tr>
      <w:tr w:rsidR="00C20BDA" w:rsidRPr="00C515B9" w:rsidTr="00C20BDA">
        <w:tc>
          <w:tcPr>
            <w:tcW w:w="1101" w:type="dxa"/>
          </w:tcPr>
          <w:p w:rsidR="00C20BDA" w:rsidRPr="00C515B9" w:rsidRDefault="004713B1" w:rsidP="00C515B9">
            <w:pPr>
              <w:spacing w:line="360" w:lineRule="auto"/>
              <w:rPr>
                <w:rFonts w:ascii="Arial" w:hAnsi="Arial" w:cs="Arial"/>
              </w:rPr>
            </w:pPr>
            <w:r>
              <w:rPr>
                <w:rFonts w:ascii="Arial" w:hAnsi="Arial" w:cs="Arial"/>
              </w:rPr>
              <w:t>2</w:t>
            </w:r>
          </w:p>
        </w:tc>
        <w:tc>
          <w:tcPr>
            <w:tcW w:w="6095" w:type="dxa"/>
          </w:tcPr>
          <w:p w:rsidR="00435038" w:rsidRPr="00C515B9" w:rsidRDefault="00435038" w:rsidP="00D82DFF">
            <w:pPr>
              <w:spacing w:line="360" w:lineRule="auto"/>
              <w:ind w:left="175"/>
              <w:rPr>
                <w:rFonts w:ascii="Arial" w:eastAsia="Times New Roman" w:hAnsi="Arial" w:cs="Arial"/>
                <w:lang w:eastAsia="pl-PL"/>
              </w:rPr>
            </w:pPr>
            <w:r w:rsidRPr="00C515B9">
              <w:rPr>
                <w:rFonts w:ascii="Arial" w:hAnsi="Arial" w:cs="Arial"/>
              </w:rPr>
              <w:t>Ad. 14) Czy dopuszczą Państwo aparat, dla którego nie jesteśmy w stanie określić dokładności częstotliwości? Taki parametr nie został oszacowany przez producenta.</w:t>
            </w:r>
          </w:p>
          <w:p w:rsidR="00C20BDA" w:rsidRPr="00C515B9" w:rsidRDefault="00C20BDA" w:rsidP="00C515B9">
            <w:pPr>
              <w:spacing w:line="360" w:lineRule="auto"/>
              <w:rPr>
                <w:rFonts w:ascii="Arial" w:hAnsi="Arial" w:cs="Arial"/>
              </w:rPr>
            </w:pPr>
          </w:p>
        </w:tc>
        <w:tc>
          <w:tcPr>
            <w:tcW w:w="6948" w:type="dxa"/>
          </w:tcPr>
          <w:p w:rsidR="00C20BDA" w:rsidRPr="00D82DFF" w:rsidRDefault="00D82DFF" w:rsidP="00C515B9">
            <w:pPr>
              <w:spacing w:line="360" w:lineRule="auto"/>
              <w:rPr>
                <w:rFonts w:ascii="Arial" w:hAnsi="Arial" w:cs="Arial"/>
              </w:rPr>
            </w:pPr>
            <w:r>
              <w:rPr>
                <w:rFonts w:ascii="Arial" w:eastAsia="Times New Roman" w:hAnsi="Arial" w:cs="Arial"/>
                <w:lang w:eastAsia="pl-PL"/>
              </w:rPr>
              <w:t>N</w:t>
            </w:r>
            <w:r w:rsidRPr="00D82DFF">
              <w:rPr>
                <w:rFonts w:ascii="Arial" w:eastAsia="Times New Roman" w:hAnsi="Arial" w:cs="Arial"/>
                <w:lang w:eastAsia="pl-PL"/>
              </w:rPr>
              <w:t>ie dopuszczamy</w:t>
            </w:r>
            <w:r>
              <w:rPr>
                <w:rFonts w:ascii="Arial" w:eastAsia="Times New Roman" w:hAnsi="Arial" w:cs="Arial"/>
                <w:lang w:eastAsia="pl-PL"/>
              </w:rPr>
              <w:t>.</w:t>
            </w:r>
          </w:p>
        </w:tc>
      </w:tr>
      <w:tr w:rsidR="00C20BDA" w:rsidRPr="00C515B9" w:rsidTr="00C20BDA">
        <w:tc>
          <w:tcPr>
            <w:tcW w:w="1101" w:type="dxa"/>
          </w:tcPr>
          <w:p w:rsidR="00C20BDA" w:rsidRPr="00C515B9" w:rsidRDefault="004713B1" w:rsidP="00C515B9">
            <w:pPr>
              <w:spacing w:line="360" w:lineRule="auto"/>
              <w:rPr>
                <w:rFonts w:ascii="Arial" w:hAnsi="Arial" w:cs="Arial"/>
              </w:rPr>
            </w:pPr>
            <w:r>
              <w:rPr>
                <w:rFonts w:ascii="Arial" w:hAnsi="Arial" w:cs="Arial"/>
              </w:rPr>
              <w:lastRenderedPageBreak/>
              <w:t>3</w:t>
            </w:r>
          </w:p>
        </w:tc>
        <w:tc>
          <w:tcPr>
            <w:tcW w:w="6095" w:type="dxa"/>
          </w:tcPr>
          <w:p w:rsidR="002F643A" w:rsidRPr="00C515B9" w:rsidRDefault="002F643A" w:rsidP="00D82DFF">
            <w:pPr>
              <w:spacing w:line="360" w:lineRule="auto"/>
              <w:ind w:left="175"/>
              <w:jc w:val="both"/>
              <w:rPr>
                <w:rFonts w:ascii="Arial" w:eastAsia="Calibri" w:hAnsi="Arial" w:cs="Arial"/>
              </w:rPr>
            </w:pPr>
            <w:r w:rsidRPr="00C515B9">
              <w:rPr>
                <w:rFonts w:ascii="Arial" w:eastAsia="Calibri" w:hAnsi="Arial" w:cs="Arial"/>
              </w:rPr>
              <w:t xml:space="preserve">Pkt. 6. OPZ: Czy Zamawiający dopuszcza zaoferowanie urządzenia o maksymalnym napięciu wyjściowym </w:t>
            </w:r>
            <w:r w:rsidRPr="00C515B9">
              <w:rPr>
                <w:rFonts w:ascii="Arial" w:eastAsia="Times New Roman" w:hAnsi="Arial" w:cs="Arial"/>
                <w:lang w:eastAsia="pl-PL"/>
              </w:rPr>
              <w:t>± 12 V</w:t>
            </w:r>
            <w:r w:rsidRPr="00C515B9">
              <w:rPr>
                <w:rFonts w:ascii="Arial" w:eastAsia="Calibri" w:hAnsi="Arial" w:cs="Arial"/>
              </w:rPr>
              <w:t xml:space="preserve"> zamiast </w:t>
            </w:r>
            <w:r w:rsidRPr="00C515B9">
              <w:rPr>
                <w:rFonts w:ascii="Arial" w:eastAsia="Times New Roman" w:hAnsi="Arial" w:cs="Arial"/>
                <w:lang w:eastAsia="pl-PL"/>
              </w:rPr>
              <w:t xml:space="preserve">± 20 V? Warunek zakresu pomiaru potencjału (o wiele bardzie istotny parametr przy pomiarach) pozostałby niezmieniony. </w:t>
            </w:r>
          </w:p>
          <w:p w:rsidR="00C20BDA" w:rsidRPr="00C515B9" w:rsidRDefault="00C20BDA" w:rsidP="00C515B9">
            <w:pPr>
              <w:spacing w:line="360" w:lineRule="auto"/>
              <w:rPr>
                <w:rFonts w:ascii="Arial" w:hAnsi="Arial" w:cs="Arial"/>
              </w:rPr>
            </w:pPr>
          </w:p>
        </w:tc>
        <w:tc>
          <w:tcPr>
            <w:tcW w:w="6948" w:type="dxa"/>
          </w:tcPr>
          <w:p w:rsidR="00C20BDA" w:rsidRPr="00C515B9" w:rsidRDefault="00D82DFF" w:rsidP="00C515B9">
            <w:pPr>
              <w:spacing w:line="360" w:lineRule="auto"/>
              <w:rPr>
                <w:rFonts w:ascii="Arial" w:hAnsi="Arial" w:cs="Arial"/>
              </w:rPr>
            </w:pPr>
            <w:r>
              <w:rPr>
                <w:rFonts w:ascii="Arial" w:eastAsia="Times New Roman" w:hAnsi="Arial" w:cs="Arial"/>
                <w:lang w:eastAsia="pl-PL"/>
              </w:rPr>
              <w:t>N</w:t>
            </w:r>
            <w:r w:rsidRPr="00D82DFF">
              <w:rPr>
                <w:rFonts w:ascii="Arial" w:eastAsia="Times New Roman" w:hAnsi="Arial" w:cs="Arial"/>
                <w:lang w:eastAsia="pl-PL"/>
              </w:rPr>
              <w:t>ie dopuszczamy</w:t>
            </w:r>
            <w:r>
              <w:rPr>
                <w:rFonts w:ascii="Arial" w:eastAsia="Times New Roman" w:hAnsi="Arial" w:cs="Arial"/>
                <w:lang w:eastAsia="pl-PL"/>
              </w:rPr>
              <w:t>.</w:t>
            </w:r>
          </w:p>
        </w:tc>
      </w:tr>
      <w:tr w:rsidR="00C20BDA" w:rsidRPr="00C515B9" w:rsidTr="00C20BDA">
        <w:tc>
          <w:tcPr>
            <w:tcW w:w="1101" w:type="dxa"/>
          </w:tcPr>
          <w:p w:rsidR="00C20BDA" w:rsidRPr="00C515B9" w:rsidRDefault="004713B1" w:rsidP="00C515B9">
            <w:pPr>
              <w:spacing w:line="360" w:lineRule="auto"/>
              <w:rPr>
                <w:rFonts w:ascii="Arial" w:hAnsi="Arial" w:cs="Arial"/>
              </w:rPr>
            </w:pPr>
            <w:r>
              <w:rPr>
                <w:rFonts w:ascii="Arial" w:hAnsi="Arial" w:cs="Arial"/>
              </w:rPr>
              <w:t>4</w:t>
            </w:r>
          </w:p>
        </w:tc>
        <w:tc>
          <w:tcPr>
            <w:tcW w:w="6095" w:type="dxa"/>
          </w:tcPr>
          <w:p w:rsidR="002F643A" w:rsidRPr="00C515B9" w:rsidRDefault="002F643A" w:rsidP="00D82DFF">
            <w:pPr>
              <w:spacing w:line="360" w:lineRule="auto"/>
              <w:ind w:left="175"/>
              <w:jc w:val="both"/>
              <w:rPr>
                <w:rFonts w:ascii="Arial" w:eastAsia="Calibri" w:hAnsi="Arial" w:cs="Arial"/>
              </w:rPr>
            </w:pPr>
            <w:r w:rsidRPr="00C515B9">
              <w:rPr>
                <w:rFonts w:ascii="Arial" w:eastAsia="Calibri" w:hAnsi="Arial" w:cs="Arial"/>
              </w:rPr>
              <w:t>Pkt. 9. OPZ: Czy Zamawiający dopuszcza zaoferowanie urządzenia o maksymalnej szybkości skanowania 200 V/s? Przy tak wysokich szybkościach zmian potencjału i tak konieczne byłoby zastosowanie skanowania analogowego.</w:t>
            </w:r>
          </w:p>
          <w:p w:rsidR="00C20BDA" w:rsidRPr="00C515B9" w:rsidRDefault="00C20BDA" w:rsidP="00C515B9">
            <w:pPr>
              <w:spacing w:line="360" w:lineRule="auto"/>
              <w:rPr>
                <w:rFonts w:ascii="Arial" w:hAnsi="Arial" w:cs="Arial"/>
              </w:rPr>
            </w:pPr>
          </w:p>
        </w:tc>
        <w:tc>
          <w:tcPr>
            <w:tcW w:w="6948" w:type="dxa"/>
          </w:tcPr>
          <w:p w:rsidR="00C20BDA" w:rsidRPr="00C515B9" w:rsidRDefault="00D82DFF" w:rsidP="00C515B9">
            <w:pPr>
              <w:spacing w:line="360" w:lineRule="auto"/>
              <w:rPr>
                <w:rFonts w:ascii="Arial" w:hAnsi="Arial" w:cs="Arial"/>
              </w:rPr>
            </w:pPr>
            <w:r>
              <w:rPr>
                <w:rFonts w:ascii="Arial" w:eastAsia="Times New Roman" w:hAnsi="Arial" w:cs="Arial"/>
                <w:lang w:eastAsia="pl-PL"/>
              </w:rPr>
              <w:t>N</w:t>
            </w:r>
            <w:r w:rsidRPr="00D82DFF">
              <w:rPr>
                <w:rFonts w:ascii="Arial" w:eastAsia="Times New Roman" w:hAnsi="Arial" w:cs="Arial"/>
                <w:lang w:eastAsia="pl-PL"/>
              </w:rPr>
              <w:t>ie dopuszczamy</w:t>
            </w:r>
            <w:r>
              <w:rPr>
                <w:rFonts w:ascii="Arial" w:eastAsia="Times New Roman" w:hAnsi="Arial" w:cs="Arial"/>
                <w:lang w:eastAsia="pl-PL"/>
              </w:rPr>
              <w:t>.</w:t>
            </w:r>
          </w:p>
        </w:tc>
      </w:tr>
      <w:tr w:rsidR="002F643A" w:rsidRPr="00C515B9" w:rsidTr="00C20BDA">
        <w:tc>
          <w:tcPr>
            <w:tcW w:w="1101" w:type="dxa"/>
          </w:tcPr>
          <w:p w:rsidR="002F643A" w:rsidRPr="00C515B9" w:rsidRDefault="004713B1" w:rsidP="00C515B9">
            <w:pPr>
              <w:spacing w:line="360" w:lineRule="auto"/>
              <w:rPr>
                <w:rFonts w:ascii="Arial" w:hAnsi="Arial" w:cs="Arial"/>
              </w:rPr>
            </w:pPr>
            <w:r>
              <w:rPr>
                <w:rFonts w:ascii="Arial" w:hAnsi="Arial" w:cs="Arial"/>
              </w:rPr>
              <w:t>5</w:t>
            </w:r>
          </w:p>
        </w:tc>
        <w:tc>
          <w:tcPr>
            <w:tcW w:w="6095" w:type="dxa"/>
          </w:tcPr>
          <w:p w:rsidR="002F643A" w:rsidRPr="00C515B9" w:rsidRDefault="002F643A" w:rsidP="004713B1">
            <w:pPr>
              <w:spacing w:line="360" w:lineRule="auto"/>
              <w:ind w:left="175"/>
              <w:jc w:val="both"/>
              <w:rPr>
                <w:rFonts w:ascii="Arial" w:eastAsia="Calibri" w:hAnsi="Arial" w:cs="Arial"/>
              </w:rPr>
            </w:pPr>
            <w:r w:rsidRPr="00C515B9">
              <w:rPr>
                <w:rFonts w:ascii="Arial" w:eastAsia="Calibri" w:hAnsi="Arial" w:cs="Arial"/>
              </w:rPr>
              <w:t xml:space="preserve">Pkt. 11. OPZ: Czy Zamawiający dopuszcza zaoferowanie urządzenia o maksymalnej rozdzielczości pomiaru prądu wynoszącej 330 </w:t>
            </w:r>
            <w:proofErr w:type="spellStart"/>
            <w:r w:rsidRPr="00C515B9">
              <w:rPr>
                <w:rFonts w:ascii="Arial" w:eastAsia="Calibri" w:hAnsi="Arial" w:cs="Arial"/>
              </w:rPr>
              <w:t>fA</w:t>
            </w:r>
            <w:proofErr w:type="spellEnd"/>
            <w:r w:rsidRPr="00C515B9">
              <w:rPr>
                <w:rFonts w:ascii="Arial" w:eastAsia="Calibri" w:hAnsi="Arial" w:cs="Arial"/>
              </w:rPr>
              <w:t xml:space="preserve"> w zakresie 10 </w:t>
            </w:r>
            <w:proofErr w:type="spellStart"/>
            <w:r w:rsidRPr="00C515B9">
              <w:rPr>
                <w:rFonts w:ascii="Arial" w:eastAsia="Calibri" w:hAnsi="Arial" w:cs="Arial"/>
              </w:rPr>
              <w:t>nA</w:t>
            </w:r>
            <w:proofErr w:type="spellEnd"/>
            <w:r w:rsidRPr="00C515B9">
              <w:rPr>
                <w:rFonts w:ascii="Arial" w:eastAsia="Calibri" w:hAnsi="Arial" w:cs="Arial"/>
              </w:rPr>
              <w:t>? Tak niskie prądy i tak są na poziomie szumów.</w:t>
            </w:r>
          </w:p>
          <w:p w:rsidR="002F643A" w:rsidRPr="00C515B9" w:rsidRDefault="002F643A" w:rsidP="00D82DFF">
            <w:pPr>
              <w:spacing w:line="360" w:lineRule="auto"/>
              <w:ind w:left="720"/>
              <w:jc w:val="both"/>
              <w:rPr>
                <w:rFonts w:ascii="Arial" w:eastAsia="Calibri" w:hAnsi="Arial" w:cs="Arial"/>
              </w:rPr>
            </w:pPr>
          </w:p>
        </w:tc>
        <w:tc>
          <w:tcPr>
            <w:tcW w:w="6948" w:type="dxa"/>
          </w:tcPr>
          <w:p w:rsidR="002F643A" w:rsidRPr="00C515B9" w:rsidRDefault="00D82DFF" w:rsidP="00C515B9">
            <w:pPr>
              <w:spacing w:line="360" w:lineRule="auto"/>
              <w:rPr>
                <w:rFonts w:ascii="Arial" w:hAnsi="Arial" w:cs="Arial"/>
              </w:rPr>
            </w:pPr>
            <w:r>
              <w:rPr>
                <w:rFonts w:ascii="Arial" w:eastAsia="Times New Roman" w:hAnsi="Arial" w:cs="Arial"/>
                <w:lang w:eastAsia="pl-PL"/>
              </w:rPr>
              <w:t>N</w:t>
            </w:r>
            <w:r w:rsidRPr="00D82DFF">
              <w:rPr>
                <w:rFonts w:ascii="Arial" w:eastAsia="Times New Roman" w:hAnsi="Arial" w:cs="Arial"/>
                <w:lang w:eastAsia="pl-PL"/>
              </w:rPr>
              <w:t>ie dopuszczamy</w:t>
            </w:r>
            <w:r>
              <w:rPr>
                <w:rFonts w:ascii="Arial" w:eastAsia="Times New Roman" w:hAnsi="Arial" w:cs="Arial"/>
                <w:lang w:eastAsia="pl-PL"/>
              </w:rPr>
              <w:t>.</w:t>
            </w:r>
          </w:p>
        </w:tc>
      </w:tr>
      <w:tr w:rsidR="002F643A" w:rsidRPr="00C515B9" w:rsidTr="00C20BDA">
        <w:tc>
          <w:tcPr>
            <w:tcW w:w="1101" w:type="dxa"/>
          </w:tcPr>
          <w:p w:rsidR="002F643A" w:rsidRPr="00C515B9" w:rsidRDefault="004713B1" w:rsidP="00C515B9">
            <w:pPr>
              <w:spacing w:line="360" w:lineRule="auto"/>
              <w:rPr>
                <w:rFonts w:ascii="Arial" w:hAnsi="Arial" w:cs="Arial"/>
              </w:rPr>
            </w:pPr>
            <w:r>
              <w:rPr>
                <w:rFonts w:ascii="Arial" w:hAnsi="Arial" w:cs="Arial"/>
              </w:rPr>
              <w:t>6</w:t>
            </w:r>
          </w:p>
        </w:tc>
        <w:tc>
          <w:tcPr>
            <w:tcW w:w="6095" w:type="dxa"/>
          </w:tcPr>
          <w:p w:rsidR="002F643A" w:rsidRPr="00C515B9" w:rsidRDefault="002F643A" w:rsidP="004713B1">
            <w:pPr>
              <w:spacing w:line="360" w:lineRule="auto"/>
              <w:ind w:left="175"/>
              <w:jc w:val="both"/>
              <w:rPr>
                <w:rFonts w:ascii="Arial" w:eastAsia="Calibri" w:hAnsi="Arial" w:cs="Arial"/>
              </w:rPr>
            </w:pPr>
            <w:r w:rsidRPr="00C515B9">
              <w:rPr>
                <w:rFonts w:ascii="Arial" w:eastAsia="Calibri" w:hAnsi="Arial" w:cs="Arial"/>
              </w:rPr>
              <w:t>Pkt. 14. OPZ: Zamawiający ma na myśli dokładność czy rozdzielczość częstotliwości? Prosimy o weryfikację.</w:t>
            </w:r>
          </w:p>
          <w:p w:rsidR="002F643A" w:rsidRPr="00C515B9" w:rsidRDefault="002F643A" w:rsidP="00D82DFF">
            <w:pPr>
              <w:spacing w:line="360" w:lineRule="auto"/>
              <w:ind w:left="720"/>
              <w:jc w:val="both"/>
              <w:rPr>
                <w:rFonts w:ascii="Arial" w:eastAsia="Calibri" w:hAnsi="Arial" w:cs="Arial"/>
              </w:rPr>
            </w:pPr>
          </w:p>
        </w:tc>
        <w:tc>
          <w:tcPr>
            <w:tcW w:w="6948" w:type="dxa"/>
          </w:tcPr>
          <w:p w:rsidR="002F643A" w:rsidRPr="00D82DFF" w:rsidRDefault="00D82DFF" w:rsidP="00D82DFF">
            <w:pPr>
              <w:spacing w:line="360" w:lineRule="auto"/>
              <w:rPr>
                <w:rFonts w:ascii="Arial" w:hAnsi="Arial" w:cs="Arial"/>
              </w:rPr>
            </w:pPr>
            <w:r w:rsidRPr="00D82DFF">
              <w:rPr>
                <w:rFonts w:ascii="Arial" w:eastAsia="Times New Roman" w:hAnsi="Arial" w:cs="Arial"/>
                <w:lang w:eastAsia="pl-PL"/>
              </w:rPr>
              <w:t>Z</w:t>
            </w:r>
            <w:r w:rsidRPr="00D82DFF">
              <w:rPr>
                <w:rFonts w:ascii="Arial" w:eastAsia="Times New Roman" w:hAnsi="Arial" w:cs="Arial"/>
                <w:lang w:eastAsia="pl-PL"/>
              </w:rPr>
              <w:t>amawiający ma na myśli rozdzielczość. Dokładność częstotliwości jest podana i wynosi 0,003%</w:t>
            </w:r>
            <w:r>
              <w:rPr>
                <w:rFonts w:ascii="Arial" w:eastAsia="Times New Roman" w:hAnsi="Arial" w:cs="Arial"/>
                <w:lang w:eastAsia="pl-PL"/>
              </w:rPr>
              <w:t>.</w:t>
            </w:r>
          </w:p>
        </w:tc>
      </w:tr>
      <w:tr w:rsidR="002F643A" w:rsidRPr="00C515B9" w:rsidTr="00C20BDA">
        <w:tc>
          <w:tcPr>
            <w:tcW w:w="1101" w:type="dxa"/>
          </w:tcPr>
          <w:p w:rsidR="002F643A" w:rsidRPr="00C515B9" w:rsidRDefault="004713B1" w:rsidP="00C515B9">
            <w:pPr>
              <w:spacing w:line="360" w:lineRule="auto"/>
              <w:rPr>
                <w:rFonts w:ascii="Arial" w:hAnsi="Arial" w:cs="Arial"/>
              </w:rPr>
            </w:pPr>
            <w:r>
              <w:rPr>
                <w:rFonts w:ascii="Arial" w:hAnsi="Arial" w:cs="Arial"/>
              </w:rPr>
              <w:t>7</w:t>
            </w:r>
          </w:p>
        </w:tc>
        <w:tc>
          <w:tcPr>
            <w:tcW w:w="6095" w:type="dxa"/>
          </w:tcPr>
          <w:p w:rsidR="002F643A" w:rsidRPr="00C515B9" w:rsidRDefault="002F643A" w:rsidP="004713B1">
            <w:pPr>
              <w:spacing w:line="360" w:lineRule="auto"/>
              <w:ind w:left="175"/>
              <w:jc w:val="both"/>
              <w:rPr>
                <w:rFonts w:ascii="Arial" w:eastAsia="Calibri" w:hAnsi="Arial" w:cs="Arial"/>
              </w:rPr>
            </w:pPr>
            <w:r w:rsidRPr="00C515B9">
              <w:rPr>
                <w:rFonts w:ascii="Arial" w:eastAsia="Calibri" w:hAnsi="Arial" w:cs="Arial"/>
              </w:rPr>
              <w:t xml:space="preserve">W opisie przedmiotu zamówienia podane jest informacje, że potencjostat </w:t>
            </w:r>
            <w:proofErr w:type="spellStart"/>
            <w:r w:rsidRPr="00C515B9">
              <w:rPr>
                <w:rFonts w:ascii="Arial" w:eastAsia="Calibri" w:hAnsi="Arial" w:cs="Arial"/>
              </w:rPr>
              <w:t>galwanostat</w:t>
            </w:r>
            <w:proofErr w:type="spellEnd"/>
            <w:r w:rsidRPr="00C515B9">
              <w:rPr>
                <w:rFonts w:ascii="Arial" w:eastAsia="Calibri" w:hAnsi="Arial" w:cs="Arial"/>
              </w:rPr>
              <w:t xml:space="preserve"> ma zostać dostarczony „wraz z niezbędnym osprzętem…”. Czy zamawiający rozumie </w:t>
            </w:r>
            <w:r w:rsidRPr="00C515B9">
              <w:rPr>
                <w:rFonts w:ascii="Arial" w:eastAsia="Calibri" w:hAnsi="Arial" w:cs="Arial"/>
              </w:rPr>
              <w:lastRenderedPageBreak/>
              <w:t>przez „niezbędny osprzęt” naczynia i elektrody do prowadzenia badań elektrochemicznych? Jeśli tak, to o jakich parametrach?</w:t>
            </w:r>
          </w:p>
        </w:tc>
        <w:tc>
          <w:tcPr>
            <w:tcW w:w="6948" w:type="dxa"/>
          </w:tcPr>
          <w:p w:rsidR="002F643A" w:rsidRPr="004713B1" w:rsidRDefault="002F643A" w:rsidP="00C515B9">
            <w:pPr>
              <w:spacing w:line="360" w:lineRule="auto"/>
              <w:jc w:val="both"/>
              <w:rPr>
                <w:rFonts w:ascii="Arial" w:hAnsi="Arial" w:cs="Arial"/>
              </w:rPr>
            </w:pPr>
            <w:r w:rsidRPr="004713B1">
              <w:rPr>
                <w:rFonts w:ascii="Arial" w:hAnsi="Arial" w:cs="Arial"/>
              </w:rPr>
              <w:lastRenderedPageBreak/>
              <w:t>Tak, zamawiający przez niezbędny osprzęt rozumie naczynia i elektrody do prowadzenia badań /elektrochemicznych. Poniżej przedstawiono specyfikacje naczyń oraz elektrod.</w:t>
            </w:r>
          </w:p>
          <w:p w:rsidR="002F643A" w:rsidRPr="00C515B9" w:rsidRDefault="002F643A" w:rsidP="00C515B9">
            <w:pPr>
              <w:pStyle w:val="Akapitzlist"/>
              <w:numPr>
                <w:ilvl w:val="0"/>
                <w:numId w:val="8"/>
              </w:numPr>
              <w:spacing w:line="360" w:lineRule="auto"/>
              <w:rPr>
                <w:rFonts w:ascii="Arial" w:hAnsi="Arial" w:cs="Arial"/>
                <w:b/>
              </w:rPr>
            </w:pPr>
            <w:r w:rsidRPr="00C515B9">
              <w:rPr>
                <w:rFonts w:ascii="Arial" w:hAnsi="Arial" w:cs="Arial"/>
                <w:b/>
              </w:rPr>
              <w:lastRenderedPageBreak/>
              <w:t>Naczynko do pomiarów elektrochemicznych/</w:t>
            </w:r>
            <w:proofErr w:type="spellStart"/>
            <w:r w:rsidRPr="00C515B9">
              <w:rPr>
                <w:rFonts w:ascii="Arial" w:hAnsi="Arial" w:cs="Arial"/>
                <w:b/>
              </w:rPr>
              <w:t>fotoelektrochemicznych</w:t>
            </w:r>
            <w:proofErr w:type="spellEnd"/>
            <w:r w:rsidRPr="00C515B9">
              <w:rPr>
                <w:rFonts w:ascii="Arial" w:hAnsi="Arial" w:cs="Arial"/>
                <w:b/>
              </w:rPr>
              <w:t xml:space="preserve"> </w:t>
            </w:r>
          </w:p>
          <w:p w:rsidR="002F643A" w:rsidRPr="00C515B9" w:rsidRDefault="002F643A" w:rsidP="00C515B9">
            <w:pPr>
              <w:spacing w:line="360" w:lineRule="auto"/>
              <w:jc w:val="both"/>
              <w:rPr>
                <w:rFonts w:ascii="Arial" w:hAnsi="Arial" w:cs="Arial"/>
                <w:b/>
              </w:rPr>
            </w:pPr>
            <w:r w:rsidRPr="00C515B9">
              <w:rPr>
                <w:rFonts w:ascii="Arial" w:hAnsi="Arial" w:cs="Arial"/>
                <w:b/>
              </w:rPr>
              <w:t>Skład i opis zestawu:</w:t>
            </w:r>
          </w:p>
          <w:p w:rsidR="002F643A" w:rsidRPr="00C515B9" w:rsidRDefault="002F643A" w:rsidP="00C515B9">
            <w:pPr>
              <w:spacing w:line="360" w:lineRule="auto"/>
              <w:jc w:val="both"/>
              <w:rPr>
                <w:rFonts w:ascii="Arial" w:hAnsi="Arial" w:cs="Arial"/>
              </w:rPr>
            </w:pPr>
            <w:r w:rsidRPr="00C515B9">
              <w:rPr>
                <w:rFonts w:ascii="Arial" w:hAnsi="Arial" w:cs="Arial"/>
                <w:b/>
                <w:i/>
              </w:rPr>
              <w:t>Przeciwelektroda:</w:t>
            </w:r>
            <w:r w:rsidRPr="00C515B9">
              <w:rPr>
                <w:rFonts w:ascii="Arial" w:hAnsi="Arial" w:cs="Arial"/>
              </w:rPr>
              <w:t xml:space="preserve"> siatka platynowa</w:t>
            </w:r>
          </w:p>
          <w:p w:rsidR="002F643A" w:rsidRPr="00C515B9" w:rsidRDefault="002F643A" w:rsidP="00C515B9">
            <w:pPr>
              <w:spacing w:line="360" w:lineRule="auto"/>
              <w:jc w:val="both"/>
              <w:rPr>
                <w:rFonts w:ascii="Arial" w:hAnsi="Arial" w:cs="Arial"/>
              </w:rPr>
            </w:pPr>
            <w:r w:rsidRPr="00C515B9">
              <w:rPr>
                <w:rFonts w:ascii="Arial" w:hAnsi="Arial" w:cs="Arial"/>
                <w:b/>
                <w:i/>
              </w:rPr>
              <w:t>Elektroda odniesienia:</w:t>
            </w:r>
            <w:r w:rsidRPr="00C515B9">
              <w:rPr>
                <w:rFonts w:ascii="Arial" w:hAnsi="Arial" w:cs="Arial"/>
              </w:rPr>
              <w:t xml:space="preserve"> Ag/</w:t>
            </w:r>
            <w:proofErr w:type="spellStart"/>
            <w:r w:rsidRPr="00C515B9">
              <w:rPr>
                <w:rFonts w:ascii="Arial" w:hAnsi="Arial" w:cs="Arial"/>
              </w:rPr>
              <w:t>AgCl</w:t>
            </w:r>
            <w:proofErr w:type="spellEnd"/>
          </w:p>
          <w:p w:rsidR="002F643A" w:rsidRPr="00C515B9" w:rsidRDefault="002F643A" w:rsidP="00C515B9">
            <w:pPr>
              <w:spacing w:line="360" w:lineRule="auto"/>
              <w:jc w:val="both"/>
              <w:rPr>
                <w:rFonts w:ascii="Arial" w:hAnsi="Arial" w:cs="Arial"/>
              </w:rPr>
            </w:pPr>
            <w:r w:rsidRPr="00C515B9">
              <w:rPr>
                <w:rFonts w:ascii="Arial" w:hAnsi="Arial" w:cs="Arial"/>
                <w:b/>
                <w:i/>
              </w:rPr>
              <w:t>Objętość naczynka pomiarowego:</w:t>
            </w:r>
            <w:r w:rsidRPr="00C515B9">
              <w:rPr>
                <w:rFonts w:ascii="Arial" w:hAnsi="Arial" w:cs="Arial"/>
                <w:b/>
              </w:rPr>
              <w:t xml:space="preserve"> </w:t>
            </w:r>
            <w:r w:rsidRPr="00C515B9">
              <w:rPr>
                <w:rFonts w:ascii="Arial" w:hAnsi="Arial" w:cs="Arial"/>
              </w:rPr>
              <w:t>50 ml</w:t>
            </w:r>
          </w:p>
          <w:p w:rsidR="002F643A" w:rsidRPr="00C515B9" w:rsidRDefault="002F643A" w:rsidP="00C515B9">
            <w:pPr>
              <w:spacing w:line="360" w:lineRule="auto"/>
              <w:jc w:val="both"/>
              <w:rPr>
                <w:rFonts w:ascii="Arial" w:hAnsi="Arial" w:cs="Arial"/>
              </w:rPr>
            </w:pPr>
            <w:r w:rsidRPr="00C515B9">
              <w:rPr>
                <w:rFonts w:ascii="Arial" w:hAnsi="Arial" w:cs="Arial"/>
                <w:b/>
                <w:i/>
              </w:rPr>
              <w:t>Inne elementy</w:t>
            </w:r>
            <w:r w:rsidRPr="00C515B9">
              <w:rPr>
                <w:rFonts w:ascii="Arial" w:hAnsi="Arial" w:cs="Arial"/>
              </w:rPr>
              <w:t>: Naczynko powinno mieć przykrywkę w której będą otwory na elektrody oraz mniejsze otwory z rurkami do doprowadzania i odprowadzania gazów (dwa otwory), naczynko powinno być szczelne, zestaw powinien zawierać uchwyt na elektrodę pracującą. Kwarcowe okienko powinno umożliwiać padanie promieniowania bezpośrednio na elektrodę pracującą, za elektrodą pracującą powinna znajdować się platynowa przeciwelektroda (równolegle).</w:t>
            </w:r>
          </w:p>
          <w:p w:rsidR="002F643A" w:rsidRPr="00C515B9" w:rsidRDefault="002F643A" w:rsidP="00C515B9">
            <w:pPr>
              <w:spacing w:line="360" w:lineRule="auto"/>
              <w:jc w:val="both"/>
              <w:rPr>
                <w:rFonts w:ascii="Arial" w:hAnsi="Arial" w:cs="Arial"/>
              </w:rPr>
            </w:pPr>
            <w:r w:rsidRPr="00C515B9">
              <w:rPr>
                <w:rFonts w:ascii="Arial" w:hAnsi="Arial" w:cs="Arial"/>
                <w:b/>
              </w:rPr>
              <w:t>Uwagi:</w:t>
            </w:r>
            <w:r w:rsidRPr="00C515B9">
              <w:rPr>
                <w:rFonts w:ascii="Arial" w:hAnsi="Arial" w:cs="Arial"/>
              </w:rPr>
              <w:t xml:space="preserve"> Wymiary elektrod (odniesienia i przeciwelektrody) powinny być dobrane do rozmiaru elektrody pracującej (15 mm x 10 mm).</w:t>
            </w:r>
          </w:p>
          <w:p w:rsidR="002F643A" w:rsidRPr="00C515B9" w:rsidRDefault="002F643A" w:rsidP="00C515B9">
            <w:pPr>
              <w:spacing w:line="360" w:lineRule="auto"/>
              <w:jc w:val="both"/>
              <w:rPr>
                <w:rFonts w:ascii="Arial" w:hAnsi="Arial" w:cs="Arial"/>
              </w:rPr>
            </w:pPr>
            <w:r w:rsidRPr="00C515B9">
              <w:rPr>
                <w:rFonts w:ascii="Arial" w:hAnsi="Arial" w:cs="Arial"/>
              </w:rPr>
              <w:t xml:space="preserve">Zestaw powinien zawierać uchwyt na elektrodę pracującą. </w:t>
            </w:r>
          </w:p>
          <w:p w:rsidR="002F643A" w:rsidRPr="00C515B9" w:rsidRDefault="002F643A" w:rsidP="00C515B9">
            <w:pPr>
              <w:pStyle w:val="Akapitzlist"/>
              <w:numPr>
                <w:ilvl w:val="0"/>
                <w:numId w:val="8"/>
              </w:numPr>
              <w:spacing w:line="360" w:lineRule="auto"/>
              <w:rPr>
                <w:rFonts w:ascii="Arial" w:hAnsi="Arial" w:cs="Arial"/>
                <w:b/>
              </w:rPr>
            </w:pPr>
            <w:r w:rsidRPr="00C515B9">
              <w:rPr>
                <w:rFonts w:ascii="Arial" w:hAnsi="Arial" w:cs="Arial"/>
                <w:b/>
              </w:rPr>
              <w:t xml:space="preserve">Naczynko do pomiarów </w:t>
            </w:r>
            <w:proofErr w:type="spellStart"/>
            <w:r w:rsidRPr="00C515B9">
              <w:rPr>
                <w:rFonts w:ascii="Arial" w:hAnsi="Arial" w:cs="Arial"/>
                <w:b/>
              </w:rPr>
              <w:t>spektroelektrochemicznych</w:t>
            </w:r>
            <w:proofErr w:type="spellEnd"/>
            <w:r w:rsidRPr="00C515B9">
              <w:rPr>
                <w:rFonts w:ascii="Arial" w:hAnsi="Arial" w:cs="Arial"/>
                <w:b/>
              </w:rPr>
              <w:t xml:space="preserve"> </w:t>
            </w:r>
          </w:p>
          <w:p w:rsidR="002F643A" w:rsidRPr="00C515B9" w:rsidRDefault="002F643A" w:rsidP="00C515B9">
            <w:pPr>
              <w:spacing w:line="360" w:lineRule="auto"/>
              <w:jc w:val="both"/>
              <w:rPr>
                <w:rFonts w:ascii="Arial" w:hAnsi="Arial" w:cs="Arial"/>
                <w:b/>
              </w:rPr>
            </w:pPr>
            <w:r w:rsidRPr="00C515B9">
              <w:rPr>
                <w:rFonts w:ascii="Arial" w:hAnsi="Arial" w:cs="Arial"/>
                <w:b/>
              </w:rPr>
              <w:t>Skład i opis zestawu:</w:t>
            </w:r>
          </w:p>
          <w:p w:rsidR="002F643A" w:rsidRPr="00C515B9" w:rsidRDefault="002F643A" w:rsidP="00C515B9">
            <w:pPr>
              <w:spacing w:line="360" w:lineRule="auto"/>
              <w:jc w:val="both"/>
              <w:rPr>
                <w:rFonts w:ascii="Arial" w:hAnsi="Arial" w:cs="Arial"/>
              </w:rPr>
            </w:pPr>
            <w:r w:rsidRPr="00C515B9">
              <w:rPr>
                <w:rFonts w:ascii="Arial" w:hAnsi="Arial" w:cs="Arial"/>
                <w:b/>
                <w:i/>
              </w:rPr>
              <w:t>Element bazowy:</w:t>
            </w:r>
            <w:r w:rsidRPr="00C515B9">
              <w:rPr>
                <w:rFonts w:ascii="Arial" w:hAnsi="Arial" w:cs="Arial"/>
              </w:rPr>
              <w:t xml:space="preserve"> kuweta fluorescencyjna (wszystkie ścinki wykonane z kwarcu, przezroczyste) ze szczelną przykrywką (wymiary kuwety: wysokość zewnętrzna: 45 mm, szerokość zewnętrzna 12,5 mm, szerokość wewnętrzna 10 mm, wykonana z </w:t>
            </w:r>
            <w:r w:rsidRPr="00C515B9">
              <w:rPr>
                <w:rFonts w:ascii="Arial" w:hAnsi="Arial" w:cs="Arial"/>
              </w:rPr>
              <w:lastRenderedPageBreak/>
              <w:t>kwarcu).</w:t>
            </w:r>
          </w:p>
          <w:p w:rsidR="002F643A" w:rsidRPr="00C515B9" w:rsidRDefault="002F643A" w:rsidP="00C515B9">
            <w:pPr>
              <w:spacing w:line="360" w:lineRule="auto"/>
              <w:jc w:val="both"/>
              <w:rPr>
                <w:rFonts w:ascii="Arial" w:hAnsi="Arial" w:cs="Arial"/>
              </w:rPr>
            </w:pPr>
            <w:r w:rsidRPr="00C515B9">
              <w:rPr>
                <w:rFonts w:ascii="Arial" w:hAnsi="Arial" w:cs="Arial"/>
                <w:b/>
                <w:i/>
              </w:rPr>
              <w:t xml:space="preserve">Przykrywka: </w:t>
            </w:r>
            <w:r w:rsidRPr="00C515B9">
              <w:rPr>
                <w:rFonts w:ascii="Arial" w:hAnsi="Arial" w:cs="Arial"/>
              </w:rPr>
              <w:t>powinny być trzy otwory na elektrody (pracująca, przeciwelektroda, odniesienia) oraz dwa mniejsze otwory umożliwiające doprowadzanie i odprowadzanie gazów rurkami. Promieniowanie ze spektrofotometru powinno padać bezpośrednio na elektrodę pracującą, za elektrodą pracującą powinna znajdować się platynowa przeciwelektroda (równolegle).</w:t>
            </w:r>
          </w:p>
          <w:p w:rsidR="002F643A" w:rsidRPr="00C515B9" w:rsidRDefault="002F643A" w:rsidP="00C515B9">
            <w:pPr>
              <w:spacing w:line="360" w:lineRule="auto"/>
              <w:jc w:val="both"/>
              <w:rPr>
                <w:rFonts w:ascii="Arial" w:hAnsi="Arial" w:cs="Arial"/>
              </w:rPr>
            </w:pPr>
            <w:r w:rsidRPr="00C515B9">
              <w:rPr>
                <w:rFonts w:ascii="Arial" w:hAnsi="Arial" w:cs="Arial"/>
                <w:b/>
                <w:i/>
              </w:rPr>
              <w:t>Przeciwelektroda:</w:t>
            </w:r>
            <w:r w:rsidRPr="00C515B9">
              <w:rPr>
                <w:rFonts w:ascii="Arial" w:hAnsi="Arial" w:cs="Arial"/>
              </w:rPr>
              <w:t xml:space="preserve"> siatka platynowa</w:t>
            </w:r>
          </w:p>
          <w:p w:rsidR="002F643A" w:rsidRPr="00C515B9" w:rsidRDefault="002F643A" w:rsidP="00C515B9">
            <w:pPr>
              <w:spacing w:line="360" w:lineRule="auto"/>
              <w:jc w:val="both"/>
              <w:rPr>
                <w:rFonts w:ascii="Arial" w:hAnsi="Arial" w:cs="Arial"/>
              </w:rPr>
            </w:pPr>
            <w:r w:rsidRPr="00C515B9">
              <w:rPr>
                <w:rFonts w:ascii="Arial" w:hAnsi="Arial" w:cs="Arial"/>
                <w:b/>
                <w:i/>
              </w:rPr>
              <w:t>Elektroda odniesienia:</w:t>
            </w:r>
            <w:r w:rsidRPr="00C515B9">
              <w:rPr>
                <w:rFonts w:ascii="Arial" w:hAnsi="Arial" w:cs="Arial"/>
              </w:rPr>
              <w:t xml:space="preserve"> Ag/</w:t>
            </w:r>
            <w:proofErr w:type="spellStart"/>
            <w:r w:rsidRPr="00C515B9">
              <w:rPr>
                <w:rFonts w:ascii="Arial" w:hAnsi="Arial" w:cs="Arial"/>
              </w:rPr>
              <w:t>AgCl</w:t>
            </w:r>
            <w:proofErr w:type="spellEnd"/>
            <w:r w:rsidRPr="00C515B9">
              <w:rPr>
                <w:rFonts w:ascii="Arial" w:hAnsi="Arial" w:cs="Arial"/>
              </w:rPr>
              <w:t xml:space="preserve"> lub drut platynowy pokryty </w:t>
            </w:r>
            <w:proofErr w:type="spellStart"/>
            <w:r w:rsidRPr="00C515B9">
              <w:rPr>
                <w:rFonts w:ascii="Arial" w:hAnsi="Arial" w:cs="Arial"/>
              </w:rPr>
              <w:t>AgCl</w:t>
            </w:r>
            <w:proofErr w:type="spellEnd"/>
          </w:p>
          <w:p w:rsidR="002F643A" w:rsidRPr="00C515B9" w:rsidRDefault="002F643A" w:rsidP="00C515B9">
            <w:pPr>
              <w:spacing w:line="360" w:lineRule="auto"/>
              <w:jc w:val="both"/>
              <w:rPr>
                <w:rFonts w:ascii="Arial" w:hAnsi="Arial" w:cs="Arial"/>
              </w:rPr>
            </w:pPr>
            <w:r w:rsidRPr="00C515B9">
              <w:rPr>
                <w:rFonts w:ascii="Arial" w:hAnsi="Arial" w:cs="Arial"/>
                <w:b/>
              </w:rPr>
              <w:t>Uwagi:</w:t>
            </w:r>
            <w:r w:rsidRPr="00C515B9">
              <w:rPr>
                <w:rFonts w:ascii="Arial" w:hAnsi="Arial" w:cs="Arial"/>
              </w:rPr>
              <w:t xml:space="preserve"> Wymiary elektrod (odniesienia i przeciwelektrody) powinny być dobrane do rozmiaru kuwety. Zestaw powinien zawierać uchwyt na elektrodę pracującą. </w:t>
            </w:r>
          </w:p>
          <w:p w:rsidR="002F643A" w:rsidRPr="00C515B9" w:rsidRDefault="002F643A" w:rsidP="00C515B9">
            <w:pPr>
              <w:spacing w:line="360" w:lineRule="auto"/>
              <w:jc w:val="both"/>
              <w:rPr>
                <w:rFonts w:ascii="Arial" w:hAnsi="Arial" w:cs="Arial"/>
                <w:b/>
                <w:i/>
              </w:rPr>
            </w:pPr>
          </w:p>
          <w:p w:rsidR="002F643A" w:rsidRPr="00C515B9" w:rsidRDefault="002F643A" w:rsidP="00C515B9">
            <w:pPr>
              <w:spacing w:line="360" w:lineRule="auto"/>
              <w:rPr>
                <w:rFonts w:ascii="Arial" w:hAnsi="Arial" w:cs="Arial"/>
              </w:rPr>
            </w:pPr>
          </w:p>
        </w:tc>
      </w:tr>
    </w:tbl>
    <w:p w:rsidR="00B43385" w:rsidRPr="00C515B9" w:rsidRDefault="00B43385" w:rsidP="00C515B9">
      <w:pPr>
        <w:spacing w:after="0" w:line="360" w:lineRule="auto"/>
        <w:rPr>
          <w:rFonts w:ascii="Arial" w:hAnsi="Arial" w:cs="Arial"/>
        </w:rPr>
      </w:pPr>
    </w:p>
    <w:p w:rsidR="00D623D7" w:rsidRPr="00C515B9" w:rsidRDefault="00D623D7" w:rsidP="004713B1">
      <w:pPr>
        <w:spacing w:after="0" w:line="360" w:lineRule="auto"/>
        <w:ind w:firstLine="8647"/>
        <w:rPr>
          <w:rFonts w:ascii="Arial" w:hAnsi="Arial" w:cs="Arial"/>
        </w:rPr>
      </w:pPr>
      <w:r w:rsidRPr="00C515B9">
        <w:rPr>
          <w:rFonts w:ascii="Arial" w:hAnsi="Arial" w:cs="Arial"/>
        </w:rPr>
        <w:t>Z poważaniem,</w:t>
      </w:r>
    </w:p>
    <w:p w:rsidR="00D623D7" w:rsidRPr="00C515B9" w:rsidRDefault="00D623D7" w:rsidP="004713B1">
      <w:pPr>
        <w:spacing w:after="0" w:line="360" w:lineRule="auto"/>
        <w:ind w:firstLine="8647"/>
        <w:rPr>
          <w:rFonts w:ascii="Arial" w:hAnsi="Arial" w:cs="Arial"/>
        </w:rPr>
      </w:pPr>
      <w:r w:rsidRPr="00C515B9">
        <w:rPr>
          <w:rFonts w:ascii="Arial" w:hAnsi="Arial" w:cs="Arial"/>
        </w:rPr>
        <w:t>w imieniu Zamawiającego</w:t>
      </w:r>
    </w:p>
    <w:p w:rsidR="00D623D7" w:rsidRPr="00C515B9" w:rsidRDefault="00D623D7" w:rsidP="004713B1">
      <w:pPr>
        <w:spacing w:after="0" w:line="360" w:lineRule="auto"/>
        <w:ind w:firstLine="8647"/>
        <w:rPr>
          <w:rFonts w:ascii="Arial" w:hAnsi="Arial" w:cs="Arial"/>
        </w:rPr>
      </w:pPr>
      <w:r w:rsidRPr="00C515B9">
        <w:rPr>
          <w:rFonts w:ascii="Arial" w:hAnsi="Arial" w:cs="Arial"/>
        </w:rPr>
        <w:t>Joanna Cierpisz</w:t>
      </w:r>
    </w:p>
    <w:p w:rsidR="00435038" w:rsidRPr="00C515B9" w:rsidRDefault="00435038" w:rsidP="00C515B9">
      <w:pPr>
        <w:spacing w:after="0" w:line="360" w:lineRule="auto"/>
        <w:ind w:firstLine="5103"/>
        <w:rPr>
          <w:rFonts w:ascii="Arial" w:hAnsi="Arial" w:cs="Arial"/>
        </w:rPr>
      </w:pPr>
    </w:p>
    <w:p w:rsidR="00435038" w:rsidRPr="00C515B9" w:rsidRDefault="00435038" w:rsidP="00C515B9">
      <w:pPr>
        <w:spacing w:after="0" w:line="360" w:lineRule="auto"/>
        <w:ind w:firstLine="5103"/>
        <w:rPr>
          <w:rFonts w:ascii="Arial" w:hAnsi="Arial" w:cs="Arial"/>
        </w:rPr>
      </w:pPr>
    </w:p>
    <w:sectPr w:rsidR="00435038" w:rsidRPr="00C515B9" w:rsidSect="00C20BD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3A" w:rsidRDefault="002F643A" w:rsidP="00BC73A0">
      <w:pPr>
        <w:spacing w:after="0" w:line="240" w:lineRule="auto"/>
      </w:pPr>
      <w:r>
        <w:separator/>
      </w:r>
    </w:p>
  </w:endnote>
  <w:endnote w:type="continuationSeparator" w:id="0">
    <w:p w:rsidR="002F643A" w:rsidRDefault="002F643A" w:rsidP="00BC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EE"/>
    <w:family w:val="moder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71" w:rsidRDefault="00127D71" w:rsidP="00127D71">
    <w:pPr>
      <w:pStyle w:val="Stopka"/>
      <w:pBdr>
        <w:bottom w:val="single" w:sz="6" w:space="1" w:color="auto"/>
      </w:pBdr>
      <w:tabs>
        <w:tab w:val="left" w:pos="2175"/>
      </w:tabs>
      <w:jc w:val="center"/>
      <w:rPr>
        <w:rFonts w:ascii="Calibri" w:eastAsia="Calibri" w:hAnsi="Calibri"/>
        <w:sz w:val="16"/>
        <w:szCs w:val="16"/>
      </w:rPr>
    </w:pPr>
  </w:p>
  <w:p w:rsidR="000470A8" w:rsidRDefault="000470A8" w:rsidP="000470A8">
    <w:pPr>
      <w:pStyle w:val="Stopka"/>
      <w:tabs>
        <w:tab w:val="left" w:pos="2175"/>
      </w:tabs>
      <w:jc w:val="center"/>
      <w:rPr>
        <w:rFonts w:ascii="Calibri" w:eastAsia="Calibri" w:hAnsi="Calibri"/>
        <w:sz w:val="16"/>
        <w:szCs w:val="16"/>
      </w:rPr>
    </w:pPr>
    <w:r>
      <w:rPr>
        <w:rFonts w:ascii="Calibri" w:eastAsia="Calibri" w:hAnsi="Calibri"/>
        <w:sz w:val="16"/>
        <w:szCs w:val="16"/>
      </w:rPr>
      <w:t xml:space="preserve">Uniwersytet Gdański Dział Zamówień Publicznych, 80-309 Gdańsk,  ul. </w:t>
    </w:r>
    <w:r>
      <w:rPr>
        <w:rFonts w:ascii="Calibri" w:eastAsia="Calibri" w:hAnsi="Calibri"/>
        <w:sz w:val="16"/>
        <w:szCs w:val="16"/>
      </w:rPr>
      <w:t xml:space="preserve">Jana </w:t>
    </w:r>
    <w:r>
      <w:rPr>
        <w:rFonts w:ascii="Calibri" w:eastAsia="Calibri" w:hAnsi="Calibri"/>
        <w:sz w:val="16"/>
        <w:szCs w:val="16"/>
      </w:rPr>
      <w:t>Bażyńskiego 8</w:t>
    </w:r>
  </w:p>
  <w:p w:rsidR="000470A8" w:rsidRDefault="000470A8" w:rsidP="000470A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157084">
      <w:rPr>
        <w:noProof/>
        <w:sz w:val="16"/>
        <w:szCs w:val="16"/>
      </w:rPr>
      <w:t>4</w:t>
    </w:r>
    <w:r>
      <w:rPr>
        <w:sz w:val="16"/>
        <w:szCs w:val="16"/>
      </w:rPr>
      <w:fldChar w:fldCharType="end"/>
    </w:r>
  </w:p>
  <w:p w:rsidR="002F643A" w:rsidRDefault="002F6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3A" w:rsidRDefault="002F643A" w:rsidP="00BC73A0">
      <w:pPr>
        <w:spacing w:after="0" w:line="240" w:lineRule="auto"/>
      </w:pPr>
      <w:r>
        <w:separator/>
      </w:r>
    </w:p>
  </w:footnote>
  <w:footnote w:type="continuationSeparator" w:id="0">
    <w:p w:rsidR="002F643A" w:rsidRDefault="002F643A" w:rsidP="00BC7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3A" w:rsidRDefault="002F643A" w:rsidP="00BC73A0">
    <w:pPr>
      <w:pStyle w:val="Nagwek"/>
      <w:jc w:val="center"/>
    </w:pPr>
    <w:r>
      <w:t>zam. A120-211-96/16/JC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38C"/>
    <w:multiLevelType w:val="hybridMultilevel"/>
    <w:tmpl w:val="4C0489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17797"/>
    <w:multiLevelType w:val="hybridMultilevel"/>
    <w:tmpl w:val="E342FF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8161B7F"/>
    <w:multiLevelType w:val="hybridMultilevel"/>
    <w:tmpl w:val="A0E64964"/>
    <w:lvl w:ilvl="0" w:tplc="C63EAB28">
      <w:start w:val="1"/>
      <w:numFmt w:val="upp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34C53A35"/>
    <w:multiLevelType w:val="multilevel"/>
    <w:tmpl w:val="9B7207D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35681DDB"/>
    <w:multiLevelType w:val="hybridMultilevel"/>
    <w:tmpl w:val="2D16E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8862A6"/>
    <w:multiLevelType w:val="hybridMultilevel"/>
    <w:tmpl w:val="79FC42C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D73BD3"/>
    <w:multiLevelType w:val="hybridMultilevel"/>
    <w:tmpl w:val="04EC0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4A7CF3"/>
    <w:multiLevelType w:val="hybridMultilevel"/>
    <w:tmpl w:val="73202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A0"/>
    <w:rsid w:val="00011442"/>
    <w:rsid w:val="000470A8"/>
    <w:rsid w:val="00050444"/>
    <w:rsid w:val="00074FA0"/>
    <w:rsid w:val="00127D71"/>
    <w:rsid w:val="0013192C"/>
    <w:rsid w:val="00140600"/>
    <w:rsid w:val="00157084"/>
    <w:rsid w:val="00183E45"/>
    <w:rsid w:val="00196D25"/>
    <w:rsid w:val="001A0604"/>
    <w:rsid w:val="0020464C"/>
    <w:rsid w:val="00227561"/>
    <w:rsid w:val="002F3D0E"/>
    <w:rsid w:val="002F643A"/>
    <w:rsid w:val="003404C6"/>
    <w:rsid w:val="00397A59"/>
    <w:rsid w:val="00435038"/>
    <w:rsid w:val="004713B1"/>
    <w:rsid w:val="00482075"/>
    <w:rsid w:val="005405B3"/>
    <w:rsid w:val="005E43F9"/>
    <w:rsid w:val="00652043"/>
    <w:rsid w:val="006530B7"/>
    <w:rsid w:val="00661D31"/>
    <w:rsid w:val="00675FE0"/>
    <w:rsid w:val="00687923"/>
    <w:rsid w:val="006A6C17"/>
    <w:rsid w:val="00705D48"/>
    <w:rsid w:val="00726355"/>
    <w:rsid w:val="00905C2F"/>
    <w:rsid w:val="0096458B"/>
    <w:rsid w:val="009A61C1"/>
    <w:rsid w:val="00A223C4"/>
    <w:rsid w:val="00A90B55"/>
    <w:rsid w:val="00AC320D"/>
    <w:rsid w:val="00B235CC"/>
    <w:rsid w:val="00B43385"/>
    <w:rsid w:val="00B85B1F"/>
    <w:rsid w:val="00BC73A0"/>
    <w:rsid w:val="00C20BDA"/>
    <w:rsid w:val="00C515B9"/>
    <w:rsid w:val="00C75EFD"/>
    <w:rsid w:val="00C91F70"/>
    <w:rsid w:val="00CC710F"/>
    <w:rsid w:val="00CD0904"/>
    <w:rsid w:val="00D1438D"/>
    <w:rsid w:val="00D551FE"/>
    <w:rsid w:val="00D623D7"/>
    <w:rsid w:val="00D82DFF"/>
    <w:rsid w:val="00DC7F96"/>
    <w:rsid w:val="00F65271"/>
    <w:rsid w:val="00F81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3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C73A0"/>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text">
    <w:name w:val="text"/>
    <w:basedOn w:val="Domylnaczcionkaakapitu"/>
    <w:rsid w:val="00BC73A0"/>
  </w:style>
  <w:style w:type="paragraph" w:styleId="Nagwek">
    <w:name w:val="header"/>
    <w:basedOn w:val="Normalny"/>
    <w:link w:val="NagwekZnak"/>
    <w:uiPriority w:val="99"/>
    <w:unhideWhenUsed/>
    <w:rsid w:val="00BC7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3A0"/>
  </w:style>
  <w:style w:type="paragraph" w:styleId="Stopka">
    <w:name w:val="footer"/>
    <w:basedOn w:val="Normalny"/>
    <w:link w:val="StopkaZnak"/>
    <w:uiPriority w:val="99"/>
    <w:unhideWhenUsed/>
    <w:rsid w:val="00BC7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3A0"/>
  </w:style>
  <w:style w:type="paragraph" w:styleId="Akapitzlist">
    <w:name w:val="List Paragraph"/>
    <w:basedOn w:val="Normalny"/>
    <w:uiPriority w:val="34"/>
    <w:qFormat/>
    <w:rsid w:val="00397A59"/>
    <w:pPr>
      <w:ind w:left="720"/>
      <w:contextualSpacing/>
    </w:pPr>
  </w:style>
  <w:style w:type="table" w:styleId="Tabela-Siatka">
    <w:name w:val="Table Grid"/>
    <w:basedOn w:val="Standardowy"/>
    <w:uiPriority w:val="59"/>
    <w:rsid w:val="00675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75FE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675FE0"/>
    <w:pPr>
      <w:spacing w:after="120"/>
    </w:pPr>
  </w:style>
  <w:style w:type="paragraph" w:styleId="Zwykytekst">
    <w:name w:val="Plain Text"/>
    <w:basedOn w:val="Normalny"/>
    <w:link w:val="ZwykytekstZnak"/>
    <w:uiPriority w:val="99"/>
    <w:semiHidden/>
    <w:unhideWhenUsed/>
    <w:rsid w:val="00196D2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196D25"/>
    <w:rPr>
      <w:rFonts w:ascii="Calibri" w:hAnsi="Calibri"/>
      <w:szCs w:val="21"/>
    </w:rPr>
  </w:style>
  <w:style w:type="paragraph" w:styleId="Tekstdymka">
    <w:name w:val="Balloon Text"/>
    <w:basedOn w:val="Normalny"/>
    <w:link w:val="TekstdymkaZnak"/>
    <w:uiPriority w:val="99"/>
    <w:semiHidden/>
    <w:unhideWhenUsed/>
    <w:rsid w:val="00B43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385"/>
    <w:rPr>
      <w:rFonts w:ascii="Tahoma" w:hAnsi="Tahoma" w:cs="Tahoma"/>
      <w:sz w:val="16"/>
      <w:szCs w:val="16"/>
    </w:rPr>
  </w:style>
  <w:style w:type="paragraph" w:styleId="Legenda">
    <w:name w:val="caption"/>
    <w:basedOn w:val="Normalny"/>
    <w:next w:val="Normalny"/>
    <w:uiPriority w:val="35"/>
    <w:unhideWhenUsed/>
    <w:qFormat/>
    <w:rsid w:val="002F643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3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C73A0"/>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text">
    <w:name w:val="text"/>
    <w:basedOn w:val="Domylnaczcionkaakapitu"/>
    <w:rsid w:val="00BC73A0"/>
  </w:style>
  <w:style w:type="paragraph" w:styleId="Nagwek">
    <w:name w:val="header"/>
    <w:basedOn w:val="Normalny"/>
    <w:link w:val="NagwekZnak"/>
    <w:uiPriority w:val="99"/>
    <w:unhideWhenUsed/>
    <w:rsid w:val="00BC7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3A0"/>
  </w:style>
  <w:style w:type="paragraph" w:styleId="Stopka">
    <w:name w:val="footer"/>
    <w:basedOn w:val="Normalny"/>
    <w:link w:val="StopkaZnak"/>
    <w:uiPriority w:val="99"/>
    <w:unhideWhenUsed/>
    <w:rsid w:val="00BC7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3A0"/>
  </w:style>
  <w:style w:type="paragraph" w:styleId="Akapitzlist">
    <w:name w:val="List Paragraph"/>
    <w:basedOn w:val="Normalny"/>
    <w:uiPriority w:val="34"/>
    <w:qFormat/>
    <w:rsid w:val="00397A59"/>
    <w:pPr>
      <w:ind w:left="720"/>
      <w:contextualSpacing/>
    </w:pPr>
  </w:style>
  <w:style w:type="table" w:styleId="Tabela-Siatka">
    <w:name w:val="Table Grid"/>
    <w:basedOn w:val="Standardowy"/>
    <w:uiPriority w:val="59"/>
    <w:rsid w:val="00675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75FE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675FE0"/>
    <w:pPr>
      <w:spacing w:after="120"/>
    </w:pPr>
  </w:style>
  <w:style w:type="paragraph" w:styleId="Zwykytekst">
    <w:name w:val="Plain Text"/>
    <w:basedOn w:val="Normalny"/>
    <w:link w:val="ZwykytekstZnak"/>
    <w:uiPriority w:val="99"/>
    <w:semiHidden/>
    <w:unhideWhenUsed/>
    <w:rsid w:val="00196D2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196D25"/>
    <w:rPr>
      <w:rFonts w:ascii="Calibri" w:hAnsi="Calibri"/>
      <w:szCs w:val="21"/>
    </w:rPr>
  </w:style>
  <w:style w:type="paragraph" w:styleId="Tekstdymka">
    <w:name w:val="Balloon Text"/>
    <w:basedOn w:val="Normalny"/>
    <w:link w:val="TekstdymkaZnak"/>
    <w:uiPriority w:val="99"/>
    <w:semiHidden/>
    <w:unhideWhenUsed/>
    <w:rsid w:val="00B43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385"/>
    <w:rPr>
      <w:rFonts w:ascii="Tahoma" w:hAnsi="Tahoma" w:cs="Tahoma"/>
      <w:sz w:val="16"/>
      <w:szCs w:val="16"/>
    </w:rPr>
  </w:style>
  <w:style w:type="paragraph" w:styleId="Legenda">
    <w:name w:val="caption"/>
    <w:basedOn w:val="Normalny"/>
    <w:next w:val="Normalny"/>
    <w:uiPriority w:val="35"/>
    <w:unhideWhenUsed/>
    <w:qFormat/>
    <w:rsid w:val="002F643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5320">
      <w:bodyDiv w:val="1"/>
      <w:marLeft w:val="0"/>
      <w:marRight w:val="0"/>
      <w:marTop w:val="0"/>
      <w:marBottom w:val="0"/>
      <w:divBdr>
        <w:top w:val="none" w:sz="0" w:space="0" w:color="auto"/>
        <w:left w:val="none" w:sz="0" w:space="0" w:color="auto"/>
        <w:bottom w:val="none" w:sz="0" w:space="0" w:color="auto"/>
        <w:right w:val="none" w:sz="0" w:space="0" w:color="auto"/>
      </w:divBdr>
    </w:div>
    <w:div w:id="172375714">
      <w:bodyDiv w:val="1"/>
      <w:marLeft w:val="0"/>
      <w:marRight w:val="0"/>
      <w:marTop w:val="0"/>
      <w:marBottom w:val="0"/>
      <w:divBdr>
        <w:top w:val="none" w:sz="0" w:space="0" w:color="auto"/>
        <w:left w:val="none" w:sz="0" w:space="0" w:color="auto"/>
        <w:bottom w:val="none" w:sz="0" w:space="0" w:color="auto"/>
        <w:right w:val="none" w:sz="0" w:space="0" w:color="auto"/>
      </w:divBdr>
    </w:div>
    <w:div w:id="311175065">
      <w:bodyDiv w:val="1"/>
      <w:marLeft w:val="0"/>
      <w:marRight w:val="0"/>
      <w:marTop w:val="0"/>
      <w:marBottom w:val="0"/>
      <w:divBdr>
        <w:top w:val="none" w:sz="0" w:space="0" w:color="auto"/>
        <w:left w:val="none" w:sz="0" w:space="0" w:color="auto"/>
        <w:bottom w:val="none" w:sz="0" w:space="0" w:color="auto"/>
        <w:right w:val="none" w:sz="0" w:space="0" w:color="auto"/>
      </w:divBdr>
    </w:div>
    <w:div w:id="977101991">
      <w:bodyDiv w:val="1"/>
      <w:marLeft w:val="0"/>
      <w:marRight w:val="0"/>
      <w:marTop w:val="0"/>
      <w:marBottom w:val="0"/>
      <w:divBdr>
        <w:top w:val="none" w:sz="0" w:space="0" w:color="auto"/>
        <w:left w:val="none" w:sz="0" w:space="0" w:color="auto"/>
        <w:bottom w:val="none" w:sz="0" w:space="0" w:color="auto"/>
        <w:right w:val="none" w:sz="0" w:space="0" w:color="auto"/>
      </w:divBdr>
    </w:div>
    <w:div w:id="1678264128">
      <w:bodyDiv w:val="1"/>
      <w:marLeft w:val="0"/>
      <w:marRight w:val="0"/>
      <w:marTop w:val="0"/>
      <w:marBottom w:val="0"/>
      <w:divBdr>
        <w:top w:val="none" w:sz="0" w:space="0" w:color="auto"/>
        <w:left w:val="none" w:sz="0" w:space="0" w:color="auto"/>
        <w:bottom w:val="none" w:sz="0" w:space="0" w:color="auto"/>
        <w:right w:val="none" w:sz="0" w:space="0" w:color="auto"/>
      </w:divBdr>
    </w:div>
    <w:div w:id="1926569014">
      <w:bodyDiv w:val="1"/>
      <w:marLeft w:val="0"/>
      <w:marRight w:val="0"/>
      <w:marTop w:val="0"/>
      <w:marBottom w:val="0"/>
      <w:divBdr>
        <w:top w:val="none" w:sz="0" w:space="0" w:color="auto"/>
        <w:left w:val="none" w:sz="0" w:space="0" w:color="auto"/>
        <w:bottom w:val="none" w:sz="0" w:space="0" w:color="auto"/>
        <w:right w:val="none" w:sz="0" w:space="0" w:color="auto"/>
      </w:divBdr>
    </w:div>
    <w:div w:id="19561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8EC34715</Template>
  <TotalTime>20</TotalTime>
  <Pages>4</Pages>
  <Words>587</Words>
  <Characters>3528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Cierpisz</dc:creator>
  <cp:lastModifiedBy>Joanna Cierpisz</cp:lastModifiedBy>
  <cp:revision>13</cp:revision>
  <dcterms:created xsi:type="dcterms:W3CDTF">2016-07-15T11:16:00Z</dcterms:created>
  <dcterms:modified xsi:type="dcterms:W3CDTF">2016-07-15T11:41:00Z</dcterms:modified>
</cp:coreProperties>
</file>