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4C" w:rsidRPr="009F04EF" w:rsidRDefault="00962E4C" w:rsidP="003E238C">
      <w:pPr>
        <w:pStyle w:val="Tekstpodstawowywcity"/>
        <w:tabs>
          <w:tab w:val="left" w:pos="3765"/>
        </w:tabs>
        <w:spacing w:after="0" w:line="240" w:lineRule="auto"/>
        <w:ind w:firstLine="284"/>
        <w:jc w:val="center"/>
        <w:rPr>
          <w:rFonts w:asciiTheme="majorHAnsi" w:hAnsiTheme="majorHAnsi"/>
          <w:b/>
          <w:bCs/>
          <w:sz w:val="22"/>
          <w:szCs w:val="22"/>
        </w:rPr>
      </w:pPr>
      <w:r w:rsidRPr="009F04EF">
        <w:rPr>
          <w:rFonts w:asciiTheme="majorHAnsi" w:hAnsiTheme="majorHAnsi"/>
          <w:b/>
          <w:sz w:val="22"/>
          <w:szCs w:val="22"/>
        </w:rPr>
        <w:t>Opis przedmiotu zamówienia</w:t>
      </w:r>
    </w:p>
    <w:p w:rsidR="00962E4C" w:rsidRPr="009F04EF" w:rsidRDefault="005E7FA0" w:rsidP="00245B68">
      <w:pPr>
        <w:pStyle w:val="Tekstpodstawowywcity"/>
        <w:spacing w:after="0" w:line="240" w:lineRule="auto"/>
        <w:ind w:left="-142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Tabela nr 1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8719"/>
      </w:tblGrid>
      <w:tr w:rsidR="00B10E3F" w:rsidRPr="00B10E3F" w:rsidTr="00B10E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Rok produkcji nie wcześniejszy niż 2016</w:t>
            </w:r>
          </w:p>
        </w:tc>
      </w:tr>
      <w:tr w:rsidR="00B10E3F" w:rsidRPr="00B10E3F" w:rsidTr="00B10E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Analizator musi umożliwiać analizę co najmniej 18 parametrów krwi obwodowej</w:t>
            </w:r>
          </w:p>
        </w:tc>
      </w:tr>
      <w:tr w:rsidR="00B10E3F" w:rsidRPr="00B10E3F" w:rsidTr="00B10E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Wydajność analizy co najmniej 60 oznaczeń na godzinę</w:t>
            </w:r>
          </w:p>
        </w:tc>
      </w:tr>
      <w:tr w:rsidR="00B10E3F" w:rsidRPr="00B10E3F" w:rsidTr="00B10E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Zakres liniowości dla parametrów: WBC, RBC, HGB,HCT,PLT musi zaczynać się od 0</w:t>
            </w:r>
          </w:p>
        </w:tc>
      </w:tr>
      <w:tr w:rsidR="00B10E3F" w:rsidRPr="00B10E3F" w:rsidTr="00B10E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 xml:space="preserve">Liniowość dla osocza </w:t>
            </w:r>
            <w:proofErr w:type="spellStart"/>
            <w:r w:rsidRPr="00B10E3F">
              <w:rPr>
                <w:rFonts w:asciiTheme="majorHAnsi" w:hAnsiTheme="majorHAnsi" w:cs="Arial"/>
                <w:sz w:val="20"/>
                <w:szCs w:val="20"/>
              </w:rPr>
              <w:t>bogatopłytkowego</w:t>
            </w:r>
            <w:proofErr w:type="spellEnd"/>
            <w:r w:rsidRPr="00B10E3F">
              <w:rPr>
                <w:rFonts w:asciiTheme="majorHAnsi" w:hAnsiTheme="majorHAnsi" w:cs="Arial"/>
                <w:sz w:val="20"/>
                <w:szCs w:val="20"/>
              </w:rPr>
              <w:t xml:space="preserve"> od 0 do co najmniej 4000</w:t>
            </w:r>
          </w:p>
        </w:tc>
      </w:tr>
      <w:tr w:rsidR="00B10E3F" w:rsidRPr="00B10E3F" w:rsidTr="00B10E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 xml:space="preserve">Objętość </w:t>
            </w:r>
            <w:proofErr w:type="spellStart"/>
            <w:r w:rsidRPr="00B10E3F">
              <w:rPr>
                <w:rFonts w:asciiTheme="majorHAnsi" w:hAnsiTheme="majorHAnsi" w:cs="Arial"/>
                <w:sz w:val="20"/>
                <w:szCs w:val="20"/>
              </w:rPr>
              <w:t>aspirowanej</w:t>
            </w:r>
            <w:proofErr w:type="spellEnd"/>
            <w:r w:rsidRPr="00B10E3F">
              <w:rPr>
                <w:rFonts w:asciiTheme="majorHAnsi" w:hAnsiTheme="majorHAnsi" w:cs="Arial"/>
                <w:sz w:val="20"/>
                <w:szCs w:val="20"/>
              </w:rPr>
              <w:t xml:space="preserve"> próbki nie większa niż 10 µl (bez wstępnego rozcieńczania)</w:t>
            </w:r>
          </w:p>
        </w:tc>
      </w:tr>
      <w:tr w:rsidR="00B10E3F" w:rsidRPr="00B10E3F" w:rsidTr="00B10E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 xml:space="preserve">Analizator musi zapewniać automatyzację codziennych funkcji obsługowych: start </w:t>
            </w:r>
            <w:proofErr w:type="spellStart"/>
            <w:r w:rsidRPr="00B10E3F">
              <w:rPr>
                <w:rFonts w:asciiTheme="majorHAnsi" w:hAnsiTheme="majorHAnsi" w:cs="Arial"/>
                <w:sz w:val="20"/>
                <w:szCs w:val="20"/>
              </w:rPr>
              <w:t>up</w:t>
            </w:r>
            <w:proofErr w:type="spellEnd"/>
            <w:r w:rsidRPr="00B10E3F">
              <w:rPr>
                <w:rFonts w:asciiTheme="majorHAnsi" w:hAnsiTheme="majorHAnsi" w:cs="Arial"/>
                <w:sz w:val="20"/>
                <w:szCs w:val="20"/>
              </w:rPr>
              <w:t>, automatyczne czyszczenie, kontrola poziomu odczynników</w:t>
            </w:r>
          </w:p>
        </w:tc>
      </w:tr>
      <w:tr w:rsidR="00B10E3F" w:rsidRPr="00B10E3F" w:rsidTr="00B10E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 xml:space="preserve">Analizator musi zapewniać rozdział WBC na limfocyty, granulocyty i monocyty wyrażony </w:t>
            </w:r>
            <w:r w:rsidR="0078182F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B10E3F">
              <w:rPr>
                <w:rFonts w:asciiTheme="majorHAnsi" w:hAnsiTheme="majorHAnsi" w:cs="Arial"/>
                <w:sz w:val="20"/>
                <w:szCs w:val="20"/>
              </w:rPr>
              <w:t>w wartościach bezwzględnych i procentowych</w:t>
            </w:r>
          </w:p>
        </w:tc>
      </w:tr>
      <w:tr w:rsidR="00B10E3F" w:rsidRPr="00B10E3F" w:rsidTr="00B10E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 xml:space="preserve">Musi być zapewniona możliwość tworzenia różnych poziomów dostępów dla operatora, </w:t>
            </w:r>
            <w:r w:rsidR="0078182F">
              <w:rPr>
                <w:rFonts w:asciiTheme="majorHAnsi" w:hAnsiTheme="majorHAnsi" w:cs="Arial"/>
                <w:sz w:val="20"/>
                <w:szCs w:val="20"/>
              </w:rPr>
              <w:br/>
            </w:r>
            <w:bookmarkStart w:id="0" w:name="_GoBack"/>
            <w:bookmarkEnd w:id="0"/>
            <w:r w:rsidRPr="00B10E3F">
              <w:rPr>
                <w:rFonts w:asciiTheme="majorHAnsi" w:hAnsiTheme="majorHAnsi" w:cs="Arial"/>
                <w:sz w:val="20"/>
                <w:szCs w:val="20"/>
              </w:rPr>
              <w:t>z możliwością zakładania indywidualnych haseł dostępu (w oprogramowaniu wewnętrznym analizatora)</w:t>
            </w:r>
          </w:p>
        </w:tc>
      </w:tr>
      <w:tr w:rsidR="00B10E3F" w:rsidRPr="00B10E3F" w:rsidTr="00B10E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Dostępna pamięć wyników pacjenta w pamięci analizatora  nie mniejsza niż 1000</w:t>
            </w:r>
          </w:p>
        </w:tc>
      </w:tr>
      <w:tr w:rsidR="00B10E3F" w:rsidRPr="00B10E3F" w:rsidTr="00B10E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Natężenie hałasu &lt;60dB (analizator bez kompresora)</w:t>
            </w:r>
          </w:p>
        </w:tc>
      </w:tr>
      <w:tr w:rsidR="00B10E3F" w:rsidRPr="00B10E3F" w:rsidTr="00B10E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Informacje o stanie analizatora w czasie rzeczywistym</w:t>
            </w:r>
          </w:p>
        </w:tc>
      </w:tr>
      <w:tr w:rsidR="00B10E3F" w:rsidRPr="00B10E3F" w:rsidTr="00B10E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13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Analizator musi zapewnić  transfer danych poprzez port USB</w:t>
            </w:r>
          </w:p>
        </w:tc>
      </w:tr>
      <w:tr w:rsidR="00B10E3F" w:rsidRPr="00B10E3F" w:rsidTr="00B10E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Analizator musi zapewniać  możliwość wpisania pełnych danych pacjenta (imię, nazwisko, płeć, data urodzenia) do pamięci wewnętrznej  analizatora</w:t>
            </w:r>
          </w:p>
        </w:tc>
      </w:tr>
      <w:tr w:rsidR="00B10E3F" w:rsidRPr="00B10E3F" w:rsidTr="00B10E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Wymagana jest możliwość automatycznego przyporządkowania przez system analizatora  zakresu norm w zależności od płci i wieku. Możliwość tworzenia własnych norm przez użytkownika.</w:t>
            </w:r>
          </w:p>
        </w:tc>
      </w:tr>
      <w:tr w:rsidR="00B10E3F" w:rsidRPr="00B10E3F" w:rsidTr="00B10E3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F" w:rsidRPr="00B10E3F" w:rsidRDefault="00B10E3F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10E3F">
              <w:rPr>
                <w:rFonts w:asciiTheme="majorHAnsi" w:hAnsiTheme="majorHAnsi" w:cs="Arial"/>
                <w:sz w:val="20"/>
                <w:szCs w:val="20"/>
              </w:rPr>
              <w:t xml:space="preserve">Analizator musi być </w:t>
            </w:r>
            <w:proofErr w:type="spellStart"/>
            <w:r w:rsidRPr="00B10E3F">
              <w:rPr>
                <w:rFonts w:asciiTheme="majorHAnsi" w:hAnsiTheme="majorHAnsi" w:cs="Arial"/>
                <w:sz w:val="20"/>
                <w:szCs w:val="20"/>
              </w:rPr>
              <w:t>zwalidowany</w:t>
            </w:r>
            <w:proofErr w:type="spellEnd"/>
            <w:r w:rsidRPr="00B10E3F">
              <w:rPr>
                <w:rFonts w:asciiTheme="majorHAnsi" w:hAnsiTheme="majorHAnsi" w:cs="Arial"/>
                <w:sz w:val="20"/>
                <w:szCs w:val="20"/>
              </w:rPr>
              <w:t xml:space="preserve"> dla odczynników, kontroli i kalibratora producenta analizatora </w:t>
            </w:r>
          </w:p>
        </w:tc>
      </w:tr>
    </w:tbl>
    <w:p w:rsidR="00962E4C" w:rsidRDefault="00962E4C" w:rsidP="003E238C">
      <w:pPr>
        <w:tabs>
          <w:tab w:val="left" w:pos="4065"/>
        </w:tabs>
        <w:rPr>
          <w:rFonts w:asciiTheme="majorHAnsi" w:hAnsiTheme="majorHAnsi"/>
        </w:rPr>
      </w:pPr>
    </w:p>
    <w:p w:rsidR="005E7FA0" w:rsidRDefault="005E7FA0" w:rsidP="003E238C">
      <w:pPr>
        <w:tabs>
          <w:tab w:val="left" w:pos="4065"/>
        </w:tabs>
        <w:rPr>
          <w:rFonts w:asciiTheme="majorHAnsi" w:hAnsiTheme="majorHAnsi"/>
        </w:rPr>
      </w:pPr>
    </w:p>
    <w:p w:rsidR="005E7FA0" w:rsidRPr="00245B68" w:rsidRDefault="005E7FA0" w:rsidP="00245B68">
      <w:pPr>
        <w:tabs>
          <w:tab w:val="left" w:pos="4065"/>
        </w:tabs>
        <w:spacing w:after="0" w:line="240" w:lineRule="auto"/>
        <w:ind w:hanging="142"/>
        <w:rPr>
          <w:rFonts w:asciiTheme="majorHAnsi" w:hAnsiTheme="majorHAnsi"/>
          <w:b/>
          <w:sz w:val="24"/>
          <w:szCs w:val="24"/>
        </w:rPr>
      </w:pPr>
      <w:r w:rsidRPr="00245B68">
        <w:rPr>
          <w:rFonts w:asciiTheme="majorHAnsi" w:hAnsiTheme="majorHAnsi"/>
          <w:b/>
          <w:sz w:val="24"/>
          <w:szCs w:val="24"/>
        </w:rPr>
        <w:t>Tabela nr 2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05"/>
        <w:gridCol w:w="8783"/>
      </w:tblGrid>
      <w:tr w:rsidR="00245B68" w:rsidRPr="00245B68" w:rsidTr="00245B6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Pr="00F57B05" w:rsidRDefault="00245B68" w:rsidP="00245B68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8" w:rsidRPr="00F57B05" w:rsidRDefault="00245B68" w:rsidP="00245B68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57B05">
              <w:rPr>
                <w:rFonts w:asciiTheme="majorHAnsi" w:hAnsiTheme="majorHAnsi" w:cs="Arial"/>
                <w:b/>
                <w:sz w:val="24"/>
                <w:szCs w:val="24"/>
              </w:rPr>
              <w:t>Dodatkowa funkcjonalność</w:t>
            </w:r>
            <w:r w:rsidR="00BA194A">
              <w:rPr>
                <w:rFonts w:asciiTheme="majorHAnsi" w:hAnsiTheme="majorHAnsi" w:cs="Arial"/>
                <w:b/>
                <w:sz w:val="24"/>
                <w:szCs w:val="24"/>
              </w:rPr>
              <w:t xml:space="preserve"> (nieobowiązkowa)</w:t>
            </w:r>
          </w:p>
        </w:tc>
      </w:tr>
      <w:tr w:rsidR="00245B68" w:rsidRPr="00245B68" w:rsidTr="00245B6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8" w:rsidRPr="00245B68" w:rsidRDefault="00245B6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45B68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8" w:rsidRPr="00245B68" w:rsidRDefault="00245B68" w:rsidP="00245B6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45B68">
              <w:rPr>
                <w:rFonts w:asciiTheme="majorHAnsi" w:hAnsiTheme="majorHAnsi" w:cs="Arial"/>
                <w:sz w:val="20"/>
                <w:szCs w:val="20"/>
              </w:rPr>
              <w:t xml:space="preserve">Analizator wyposażony w ciekłokrystaliczny ekran dotykowy o przekątnej nie mniejszej niż  8,4” </w:t>
            </w:r>
          </w:p>
        </w:tc>
      </w:tr>
      <w:tr w:rsidR="00245B68" w:rsidRPr="00245B68" w:rsidTr="00245B6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8" w:rsidRPr="00245B68" w:rsidRDefault="00245B6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45B68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8" w:rsidRPr="00245B68" w:rsidRDefault="00245B6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45B68">
              <w:rPr>
                <w:rFonts w:asciiTheme="majorHAnsi" w:hAnsiTheme="majorHAnsi" w:cs="Arial"/>
                <w:sz w:val="20"/>
                <w:szCs w:val="20"/>
              </w:rPr>
              <w:t>ożliwość automatycznego wylogowania operatora po o</w:t>
            </w:r>
            <w:r>
              <w:rPr>
                <w:rFonts w:asciiTheme="majorHAnsi" w:hAnsiTheme="majorHAnsi" w:cs="Arial"/>
                <w:sz w:val="20"/>
                <w:szCs w:val="20"/>
              </w:rPr>
              <w:t>kreślonym czasie nieaktywności</w:t>
            </w:r>
          </w:p>
        </w:tc>
      </w:tr>
      <w:tr w:rsidR="00245B68" w:rsidRPr="00245B68" w:rsidTr="00245B6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8" w:rsidRPr="00245B68" w:rsidRDefault="00245B6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45B68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8" w:rsidRPr="00245B68" w:rsidRDefault="00245B6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45B68">
              <w:rPr>
                <w:rFonts w:asciiTheme="majorHAnsi" w:hAnsiTheme="majorHAnsi" w:cs="Arial"/>
                <w:sz w:val="20"/>
                <w:szCs w:val="20"/>
              </w:rPr>
              <w:t>Oprogramowanie analizatora w języku polskim</w:t>
            </w:r>
          </w:p>
        </w:tc>
      </w:tr>
      <w:tr w:rsidR="00245B68" w:rsidRPr="00245B68" w:rsidTr="00245B6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8" w:rsidRPr="00245B68" w:rsidRDefault="00245B6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45B68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8" w:rsidRPr="00245B68" w:rsidRDefault="00245B6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45B68">
              <w:rPr>
                <w:rFonts w:asciiTheme="majorHAnsi" w:hAnsiTheme="majorHAnsi" w:cs="Arial"/>
                <w:sz w:val="20"/>
                <w:szCs w:val="20"/>
              </w:rPr>
              <w:t>Więcej niż jeden protokół transmisji danych do LIS (Laboratoryjny system informatyczny)</w:t>
            </w:r>
          </w:p>
        </w:tc>
      </w:tr>
      <w:tr w:rsidR="00245B68" w:rsidRPr="00245B68" w:rsidTr="00245B6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8" w:rsidRPr="00245B68" w:rsidRDefault="00245B6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45B68">
              <w:rPr>
                <w:rFonts w:asciiTheme="majorHAnsi" w:hAnsiTheme="majorHAnsi" w:cs="Arial"/>
                <w:sz w:val="20"/>
                <w:szCs w:val="20"/>
              </w:rPr>
              <w:br w:type="page"/>
              <w:t>5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8" w:rsidRPr="00245B68" w:rsidRDefault="00245B68" w:rsidP="00245B6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45B68">
              <w:rPr>
                <w:rFonts w:asciiTheme="majorHAnsi" w:hAnsiTheme="majorHAnsi" w:cs="Arial"/>
                <w:sz w:val="20"/>
                <w:szCs w:val="20"/>
              </w:rPr>
              <w:t>Analizator wyposażony w zewnętrzny czytnik kodów kreskowych</w:t>
            </w:r>
          </w:p>
        </w:tc>
      </w:tr>
      <w:tr w:rsidR="00245B68" w:rsidRPr="00245B68" w:rsidTr="00245B6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8" w:rsidRPr="00245B68" w:rsidRDefault="00245B6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45B68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8" w:rsidRPr="00245B68" w:rsidRDefault="00245B6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45B68">
              <w:rPr>
                <w:rFonts w:asciiTheme="majorHAnsi" w:hAnsiTheme="majorHAnsi" w:cs="Arial"/>
                <w:sz w:val="20"/>
                <w:szCs w:val="20"/>
              </w:rPr>
              <w:t>ożliwość posługiwania się wirtualną klawiaturą (z monitora analizatora)</w:t>
            </w:r>
          </w:p>
        </w:tc>
      </w:tr>
    </w:tbl>
    <w:p w:rsidR="005E7FA0" w:rsidRPr="009F04EF" w:rsidRDefault="005E7FA0" w:rsidP="003E238C">
      <w:pPr>
        <w:tabs>
          <w:tab w:val="left" w:pos="4065"/>
        </w:tabs>
        <w:rPr>
          <w:rFonts w:asciiTheme="majorHAnsi" w:hAnsiTheme="majorHAnsi"/>
        </w:rPr>
      </w:pPr>
    </w:p>
    <w:sectPr w:rsidR="005E7FA0" w:rsidRPr="009F04EF" w:rsidSect="00A17230">
      <w:headerReference w:type="default" r:id="rId9"/>
      <w:footerReference w:type="default" r:id="rId10"/>
      <w:pgSz w:w="11906" w:h="16838"/>
      <w:pgMar w:top="1417" w:right="1417" w:bottom="1417" w:left="1417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4C" w:rsidRDefault="00962E4C" w:rsidP="00A17230">
      <w:pPr>
        <w:spacing w:after="0" w:line="240" w:lineRule="auto"/>
      </w:pPr>
      <w:r>
        <w:separator/>
      </w:r>
    </w:p>
  </w:endnote>
  <w:endnote w:type="continuationSeparator" w:id="0">
    <w:p w:rsidR="00962E4C" w:rsidRDefault="00962E4C" w:rsidP="00A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C" w:rsidRPr="008C4CB5" w:rsidRDefault="0078182F" w:rsidP="00A17230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>
      <w:rPr>
        <w:rFonts w:ascii="Cambria" w:hAnsi="Cambria"/>
        <w:b/>
        <w:i/>
        <w:color w:val="17365D"/>
        <w:sz w:val="18"/>
        <w:szCs w:val="18"/>
      </w:rPr>
      <w:pict>
        <v:rect id="_x0000_i1026" style="width:453.6pt;height:1pt" o:hralign="center" o:hrstd="t" o:hrnoshade="t" o:hr="t" fillcolor="#17365d" stroked="f"/>
      </w:pict>
    </w:r>
  </w:p>
  <w:p w:rsidR="00962E4C" w:rsidRPr="008C4CB5" w:rsidRDefault="00962E4C" w:rsidP="00A17230">
    <w:pPr>
      <w:pStyle w:val="Stopka"/>
      <w:jc w:val="center"/>
      <w:rPr>
        <w:rFonts w:ascii="Cambria" w:hAnsi="Cambria"/>
        <w:b/>
        <w:i/>
        <w:color w:val="17365D"/>
        <w:sz w:val="18"/>
        <w:szCs w:val="18"/>
      </w:rPr>
    </w:pPr>
    <w:r w:rsidRPr="008C4CB5">
      <w:rPr>
        <w:rFonts w:ascii="Cambria" w:hAnsi="Cambria"/>
        <w:b/>
        <w:i/>
        <w:color w:val="17365D"/>
        <w:sz w:val="18"/>
        <w:szCs w:val="18"/>
      </w:rPr>
      <w:t xml:space="preserve">Uniwersytet  Gdański,  Dział  Zamówień   Publicznych,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0-</w:t>
    </w:r>
    <w:r>
      <w:rPr>
        <w:rFonts w:ascii="Cambria" w:hAnsi="Cambria"/>
        <w:b/>
        <w:i/>
        <w:color w:val="17365D"/>
        <w:sz w:val="18"/>
        <w:szCs w:val="18"/>
      </w:rPr>
      <w:t xml:space="preserve">309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Gdańsk, ul. </w:t>
    </w:r>
    <w:r>
      <w:rPr>
        <w:rFonts w:ascii="Cambria" w:hAnsi="Cambria"/>
        <w:b/>
        <w:i/>
        <w:color w:val="17365D"/>
        <w:sz w:val="18"/>
        <w:szCs w:val="18"/>
      </w:rPr>
      <w:t xml:space="preserve">Jana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Bażyńskiego 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, faks: 58</w:t>
    </w:r>
    <w:r>
      <w:rPr>
        <w:rFonts w:ascii="Cambria" w:hAnsi="Cambria"/>
        <w:b/>
        <w:i/>
        <w:color w:val="17365D"/>
        <w:sz w:val="18"/>
        <w:szCs w:val="18"/>
      </w:rPr>
      <w:t> 523 31 10</w:t>
    </w:r>
  </w:p>
  <w:p w:rsidR="00962E4C" w:rsidRDefault="00962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4C" w:rsidRDefault="00962E4C" w:rsidP="00A17230">
      <w:pPr>
        <w:spacing w:after="0" w:line="240" w:lineRule="auto"/>
      </w:pPr>
      <w:r>
        <w:separator/>
      </w:r>
    </w:p>
  </w:footnote>
  <w:footnote w:type="continuationSeparator" w:id="0">
    <w:p w:rsidR="00962E4C" w:rsidRDefault="00962E4C" w:rsidP="00A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C" w:rsidRPr="000C542A" w:rsidRDefault="00962E4C" w:rsidP="00A17230">
    <w:pPr>
      <w:spacing w:after="0"/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załącznik nr 2</w:t>
    </w:r>
    <w:r w:rsidR="0053420D">
      <w:rPr>
        <w:rFonts w:ascii="Cambria" w:hAnsi="Cambria"/>
        <w:b/>
        <w:i/>
        <w:noProof/>
        <w:color w:val="0F243E"/>
        <w:sz w:val="18"/>
        <w:szCs w:val="18"/>
        <w:lang w:eastAsia="pl-PL"/>
      </w:rPr>
      <w:t>.I</w:t>
    </w:r>
    <w:r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do SIWZ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-</w:t>
    </w:r>
    <w:r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postępowanie nr  A120-211-</w:t>
    </w:r>
    <w:r w:rsidR="0053420D">
      <w:rPr>
        <w:rFonts w:ascii="Cambria" w:hAnsi="Cambria"/>
        <w:b/>
        <w:i/>
        <w:noProof/>
        <w:color w:val="0F243E"/>
        <w:sz w:val="18"/>
        <w:szCs w:val="18"/>
        <w:lang w:eastAsia="pl-PL"/>
      </w:rPr>
      <w:t>10</w:t>
    </w:r>
    <w:r w:rsidR="001C6CEA">
      <w:rPr>
        <w:rFonts w:ascii="Cambria" w:hAnsi="Cambria"/>
        <w:b/>
        <w:i/>
        <w:noProof/>
        <w:color w:val="0F243E"/>
        <w:sz w:val="18"/>
        <w:szCs w:val="18"/>
        <w:lang w:eastAsia="pl-PL"/>
      </w:rPr>
      <w:t>8</w:t>
    </w:r>
    <w:r w:rsidR="0065236C">
      <w:rPr>
        <w:rFonts w:ascii="Cambria" w:hAnsi="Cambria"/>
        <w:b/>
        <w:i/>
        <w:noProof/>
        <w:color w:val="0F243E"/>
        <w:sz w:val="18"/>
        <w:szCs w:val="18"/>
        <w:lang w:eastAsia="pl-PL"/>
      </w:rPr>
      <w:t>/16/MP</w:t>
    </w:r>
  </w:p>
  <w:p w:rsidR="00962E4C" w:rsidRPr="004C168F" w:rsidRDefault="0078182F" w:rsidP="00A17230">
    <w:pPr>
      <w:spacing w:after="0"/>
      <w:jc w:val="center"/>
      <w:rPr>
        <w:b/>
        <w:i/>
        <w:noProof/>
        <w:color w:val="0F243E"/>
        <w:sz w:val="18"/>
        <w:szCs w:val="18"/>
        <w:lang w:eastAsia="pl-PL"/>
      </w:rPr>
    </w:pPr>
    <w:r>
      <w:rPr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962E4C" w:rsidRPr="004C168F" w:rsidRDefault="00962E4C" w:rsidP="00A17230">
    <w:pPr>
      <w:pStyle w:val="Nagwek"/>
      <w:rPr>
        <w:color w:val="0F243E"/>
      </w:rPr>
    </w:pPr>
  </w:p>
  <w:p w:rsidR="00962E4C" w:rsidRDefault="00962E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08B"/>
    <w:multiLevelType w:val="hybridMultilevel"/>
    <w:tmpl w:val="556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7E97FEC"/>
    <w:multiLevelType w:val="hybridMultilevel"/>
    <w:tmpl w:val="A8463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5A6E"/>
    <w:multiLevelType w:val="hybridMultilevel"/>
    <w:tmpl w:val="EFECEF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53"/>
    <w:rsid w:val="00012593"/>
    <w:rsid w:val="0004648E"/>
    <w:rsid w:val="00061E59"/>
    <w:rsid w:val="000B67AD"/>
    <w:rsid w:val="000B67D4"/>
    <w:rsid w:val="000C542A"/>
    <w:rsid w:val="000F424C"/>
    <w:rsid w:val="00142505"/>
    <w:rsid w:val="001C6CEA"/>
    <w:rsid w:val="00245B68"/>
    <w:rsid w:val="003E238C"/>
    <w:rsid w:val="00430AAE"/>
    <w:rsid w:val="004531C0"/>
    <w:rsid w:val="004533FC"/>
    <w:rsid w:val="004C168F"/>
    <w:rsid w:val="0053420D"/>
    <w:rsid w:val="0057388C"/>
    <w:rsid w:val="005E7FA0"/>
    <w:rsid w:val="0065236C"/>
    <w:rsid w:val="0078182F"/>
    <w:rsid w:val="007F67C3"/>
    <w:rsid w:val="00815C7B"/>
    <w:rsid w:val="008C4CB5"/>
    <w:rsid w:val="00907A53"/>
    <w:rsid w:val="00962E4C"/>
    <w:rsid w:val="0098430A"/>
    <w:rsid w:val="009F04EF"/>
    <w:rsid w:val="009F5CC9"/>
    <w:rsid w:val="00A17230"/>
    <w:rsid w:val="00A873FC"/>
    <w:rsid w:val="00AB2DCA"/>
    <w:rsid w:val="00AB6925"/>
    <w:rsid w:val="00AE1988"/>
    <w:rsid w:val="00B10E3F"/>
    <w:rsid w:val="00B80DC1"/>
    <w:rsid w:val="00BA194A"/>
    <w:rsid w:val="00BB0C99"/>
    <w:rsid w:val="00BC5D39"/>
    <w:rsid w:val="00C301CB"/>
    <w:rsid w:val="00D048A3"/>
    <w:rsid w:val="00D3082A"/>
    <w:rsid w:val="00D33D07"/>
    <w:rsid w:val="00D54737"/>
    <w:rsid w:val="00DE3469"/>
    <w:rsid w:val="00E100B3"/>
    <w:rsid w:val="00EC0C15"/>
    <w:rsid w:val="00F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pPr>
      <w:spacing w:after="160" w:line="259" w:lineRule="auto"/>
    </w:pPr>
    <w:rPr>
      <w:rFonts w:ascii="Calibri" w:eastAsia="Times New Roman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7A53"/>
    <w:rPr>
      <w:rFonts w:eastAsia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7A53"/>
    <w:rPr>
      <w:rFonts w:ascii="Cambria" w:hAnsi="Cambria" w:cs="Times New Roman"/>
      <w:b/>
      <w:color w:val="FF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230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230"/>
    <w:rPr>
      <w:rFonts w:ascii="Calibri" w:hAnsi="Calibri" w:cs="Times New Roman"/>
      <w:sz w:val="22"/>
    </w:rPr>
  </w:style>
  <w:style w:type="paragraph" w:styleId="Akapitzlist">
    <w:name w:val="List Paragraph"/>
    <w:basedOn w:val="Normalny"/>
    <w:uiPriority w:val="99"/>
    <w:qFormat/>
    <w:rsid w:val="003E238C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9F04EF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pPr>
      <w:spacing w:after="160" w:line="259" w:lineRule="auto"/>
    </w:pPr>
    <w:rPr>
      <w:rFonts w:ascii="Calibri" w:eastAsia="Times New Roman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7A53"/>
    <w:rPr>
      <w:rFonts w:eastAsia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7A53"/>
    <w:rPr>
      <w:rFonts w:ascii="Cambria" w:hAnsi="Cambria" w:cs="Times New Roman"/>
      <w:b/>
      <w:color w:val="FF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230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230"/>
    <w:rPr>
      <w:rFonts w:ascii="Calibri" w:hAnsi="Calibri" w:cs="Times New Roman"/>
      <w:sz w:val="22"/>
    </w:rPr>
  </w:style>
  <w:style w:type="paragraph" w:styleId="Akapitzlist">
    <w:name w:val="List Paragraph"/>
    <w:basedOn w:val="Normalny"/>
    <w:uiPriority w:val="99"/>
    <w:qFormat/>
    <w:rsid w:val="003E238C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9F04EF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E440-2301-4128-913B-373A4839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justyna</dc:creator>
  <cp:lastModifiedBy>Magdalena Pietruszewska</cp:lastModifiedBy>
  <cp:revision>16</cp:revision>
  <cp:lastPrinted>2016-06-15T07:14:00Z</cp:lastPrinted>
  <dcterms:created xsi:type="dcterms:W3CDTF">2016-06-07T04:47:00Z</dcterms:created>
  <dcterms:modified xsi:type="dcterms:W3CDTF">2016-06-23T11:09:00Z</dcterms:modified>
</cp:coreProperties>
</file>