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55" w:rsidRPr="009F04EF" w:rsidRDefault="00201155" w:rsidP="00201155">
      <w:pPr>
        <w:pStyle w:val="Tekstpodstawowywcity"/>
        <w:tabs>
          <w:tab w:val="left" w:pos="3765"/>
        </w:tabs>
        <w:spacing w:after="0" w:line="240" w:lineRule="auto"/>
        <w:ind w:firstLine="284"/>
        <w:jc w:val="center"/>
        <w:rPr>
          <w:rFonts w:asciiTheme="majorHAnsi" w:hAnsiTheme="majorHAnsi"/>
          <w:b/>
          <w:bCs/>
          <w:sz w:val="22"/>
          <w:szCs w:val="22"/>
        </w:rPr>
      </w:pPr>
      <w:r w:rsidRPr="009F04EF">
        <w:rPr>
          <w:rFonts w:asciiTheme="majorHAnsi" w:hAnsiTheme="majorHAnsi"/>
          <w:b/>
          <w:sz w:val="22"/>
          <w:szCs w:val="22"/>
        </w:rPr>
        <w:t>Opis przedmiotu zamówienia</w:t>
      </w:r>
    </w:p>
    <w:p w:rsidR="002D6392" w:rsidRDefault="002D6392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4"/>
        <w:gridCol w:w="8814"/>
      </w:tblGrid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Analizator biochemiczny musi być w pełni automatyczny.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Data produkcji analizatora nie może być wcześniejsza niż rok 2016.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Wymagany typ analizatora: „</w:t>
            </w:r>
            <w:proofErr w:type="spellStart"/>
            <w:r w:rsidRPr="00201155">
              <w:rPr>
                <w:rFonts w:asciiTheme="majorHAnsi" w:hAnsiTheme="majorHAnsi"/>
                <w:sz w:val="20"/>
                <w:szCs w:val="20"/>
              </w:rPr>
              <w:t>bench</w:t>
            </w:r>
            <w:proofErr w:type="spellEnd"/>
            <w:r w:rsidRPr="00201155">
              <w:rPr>
                <w:rFonts w:asciiTheme="majorHAnsi" w:hAnsiTheme="majorHAnsi"/>
                <w:sz w:val="20"/>
                <w:szCs w:val="20"/>
              </w:rPr>
              <w:t xml:space="preserve"> top” (do postawienia na stole laboratoryjnym). Wyklucza się analizator wolnostojący.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Analizator musi pracować w systemie odczynnikowym całkowicie otwartym – tzn. musi być zapewniona możliwość zastosowania, poza odczynnikami pochodzącymi od producenta analizatora, również  odczynników dowolnych innych producentów – muszą być otwarte wszystkie kanały aplikacyjne.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Analizator musi pracować w zakresie  pomiarowym długości fali co najmniej 340 – 650 nm.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Wydajność analizatora: co najmniej 200 testów fotometrycznych na godzinę.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Analizator musi wykorzystywać co najmniej następujące metody pomiarów:</w:t>
            </w:r>
          </w:p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- kinetyczna</w:t>
            </w:r>
          </w:p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- punktu końcowego</w:t>
            </w:r>
          </w:p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 w:rsidRPr="00201155">
              <w:rPr>
                <w:rFonts w:asciiTheme="majorHAnsi" w:hAnsiTheme="majorHAnsi"/>
                <w:sz w:val="20"/>
                <w:szCs w:val="20"/>
              </w:rPr>
              <w:t>turbidymetryczna</w:t>
            </w:r>
            <w:proofErr w:type="spellEnd"/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Analizator musi zapewniać możliwość wykonywania badań co najmniej w :</w:t>
            </w:r>
          </w:p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- surowicy</w:t>
            </w:r>
          </w:p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- osoczu</w:t>
            </w:r>
          </w:p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- moczu</w:t>
            </w:r>
          </w:p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 w:rsidRPr="00201155">
              <w:rPr>
                <w:rFonts w:asciiTheme="majorHAnsi" w:hAnsiTheme="majorHAnsi"/>
                <w:sz w:val="20"/>
                <w:szCs w:val="20"/>
              </w:rPr>
              <w:t>hemolizacie</w:t>
            </w:r>
            <w:proofErr w:type="spellEnd"/>
            <w:r w:rsidRPr="00201155">
              <w:rPr>
                <w:rFonts w:asciiTheme="majorHAnsi" w:hAnsiTheme="majorHAnsi"/>
                <w:sz w:val="20"/>
                <w:szCs w:val="20"/>
              </w:rPr>
              <w:t xml:space="preserve"> krwi pełnej</w:t>
            </w:r>
          </w:p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- płynie mózgowo - rdzeniowym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Możliwość wykonywania badań w zakresie co najmniej:</w:t>
            </w:r>
          </w:p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- substraty</w:t>
            </w:r>
          </w:p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- enzymy</w:t>
            </w:r>
          </w:p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-białka specyficzne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Musi być zapewniony system pracy analizatora w trybie „pacjent po pacjencie”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 xml:space="preserve">Musi być dostępna możliwość tzw. prób pilnych („cito”) – tzn. możliwość dostawienia w dowolnej chwili trwania analizy dowolnej ilości prób pilnych w rotorze </w:t>
            </w:r>
            <w:proofErr w:type="spellStart"/>
            <w:r w:rsidRPr="00201155">
              <w:rPr>
                <w:rFonts w:asciiTheme="majorHAnsi" w:hAnsiTheme="majorHAnsi"/>
                <w:sz w:val="20"/>
                <w:szCs w:val="20"/>
              </w:rPr>
              <w:t>próbkowym</w:t>
            </w:r>
            <w:proofErr w:type="spellEnd"/>
            <w:r w:rsidRPr="0020115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Analizator musi być wyposażony co najmniej w następujące detektory:</w:t>
            </w:r>
          </w:p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- detektor automatycznego monitorowania poziomu próbki</w:t>
            </w:r>
          </w:p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- detektor automatycznego monitorowania poziomu odczynnika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Analizator musi być wyposażony w sygnalizator awarii układu pomiarowego.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Analizator musi być wyposażony w wewnętrzny zintegrowany z aparatem czytnik kodów kreskowych (</w:t>
            </w:r>
            <w:proofErr w:type="spellStart"/>
            <w:r w:rsidRPr="00201155">
              <w:rPr>
                <w:rFonts w:asciiTheme="majorHAnsi" w:hAnsiTheme="majorHAnsi"/>
                <w:sz w:val="20"/>
                <w:szCs w:val="20"/>
              </w:rPr>
              <w:t>barkodów</w:t>
            </w:r>
            <w:proofErr w:type="spellEnd"/>
            <w:r w:rsidRPr="00201155">
              <w:rPr>
                <w:rFonts w:asciiTheme="majorHAnsi" w:hAnsiTheme="majorHAnsi"/>
                <w:sz w:val="20"/>
                <w:szCs w:val="20"/>
              </w:rPr>
              <w:t>) dla odczynników i badanych próbek.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br w:type="page"/>
              <w:t>15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 xml:space="preserve">Analizator musi wykonywać analizy pomiarowe w kuwetach jednorazowych. 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Aparat musi być wyposażony w system kontroli czystości kuwet.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Zużycie wody dejonizowanej w systemie nie większe niż 4 litry na godzinę pracy analizatora, bez stacji uzdatniania wody.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 xml:space="preserve">Analizator musi być wyposażony w rotor </w:t>
            </w:r>
            <w:proofErr w:type="spellStart"/>
            <w:r w:rsidRPr="00201155">
              <w:rPr>
                <w:rFonts w:asciiTheme="majorHAnsi" w:hAnsiTheme="majorHAnsi"/>
                <w:sz w:val="20"/>
                <w:szCs w:val="20"/>
              </w:rPr>
              <w:t>próbkowy</w:t>
            </w:r>
            <w:proofErr w:type="spellEnd"/>
            <w:r w:rsidRPr="00201155">
              <w:rPr>
                <w:rFonts w:asciiTheme="majorHAnsi" w:hAnsiTheme="majorHAnsi"/>
                <w:sz w:val="20"/>
                <w:szCs w:val="20"/>
              </w:rPr>
              <w:t xml:space="preserve"> z min. 40 pozycji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 xml:space="preserve">Możliwość wykonywania oznaczeń z próbek mikro – mini pojemniki – objętość martwa próbki nie większa niż 50 </w:t>
            </w:r>
            <w:proofErr w:type="spellStart"/>
            <w:r w:rsidRPr="00201155">
              <w:rPr>
                <w:rFonts w:asciiTheme="majorHAnsi" w:hAnsiTheme="majorHAnsi"/>
                <w:sz w:val="20"/>
                <w:szCs w:val="20"/>
              </w:rPr>
              <w:t>mikrolitrów</w:t>
            </w:r>
            <w:proofErr w:type="spellEnd"/>
            <w:r w:rsidRPr="00201155">
              <w:rPr>
                <w:rFonts w:asciiTheme="majorHAnsi" w:hAnsiTheme="majorHAnsi"/>
                <w:sz w:val="20"/>
                <w:szCs w:val="20"/>
              </w:rPr>
              <w:t xml:space="preserve"> – potwierdzone zapisem w instrukcji obsługi dołączonej do oferty.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Analizator musi zapewniać możliwość wykonywania oznaczeń z probówek pierwotnych (w zamkniętym próżniowym systemie do pobierania krwi).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Analizator musi być wyposażony w rotor odczynnikowy zawierający co najmniej 40 pozycji.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 xml:space="preserve">Dostawca analizatora musi zapewnić odczynniki, kontrole, kalibratory i płyny myjące pochodzące od tego samego producenta co oferowany analizator, </w:t>
            </w:r>
            <w:proofErr w:type="spellStart"/>
            <w:r w:rsidRPr="00201155">
              <w:rPr>
                <w:rFonts w:asciiTheme="majorHAnsi" w:hAnsiTheme="majorHAnsi"/>
                <w:sz w:val="20"/>
                <w:szCs w:val="20"/>
              </w:rPr>
              <w:t>zwalidowane</w:t>
            </w:r>
            <w:proofErr w:type="spellEnd"/>
            <w:r w:rsidRPr="00201155">
              <w:rPr>
                <w:rFonts w:asciiTheme="majorHAnsi" w:hAnsiTheme="majorHAnsi"/>
                <w:sz w:val="20"/>
                <w:szCs w:val="20"/>
              </w:rPr>
              <w:t xml:space="preserve"> dla danego analizatora 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Wszystkie odczynniki muszą być opatrzone kodem kreskowym umożliwiającym identyfikację na pokładzie analizatora.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Analizator musi zapewniać możliwość stosowania odczynników w opakowaniach umożliwiających bezpośrednie wstawienie do rotora odczynnikowego bez konieczności przelewania ich poza analizatorem.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r w:rsidRPr="00201155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 xml:space="preserve">Analizator musi zapewniać chłodzenie rotora odczynnikowego gwarantujące rzeczywistą stałą temperaturę odczynników 4 – 10 </w:t>
            </w:r>
            <w:proofErr w:type="spellStart"/>
            <w:r w:rsidRPr="00201155">
              <w:rPr>
                <w:rFonts w:asciiTheme="majorHAnsi" w:hAnsiTheme="majorHAnsi"/>
                <w:sz w:val="20"/>
                <w:szCs w:val="20"/>
              </w:rPr>
              <w:t>st</w:t>
            </w:r>
            <w:proofErr w:type="spellEnd"/>
            <w:r w:rsidRPr="00201155">
              <w:rPr>
                <w:rFonts w:asciiTheme="majorHAnsi" w:hAnsiTheme="majorHAnsi"/>
                <w:sz w:val="20"/>
                <w:szCs w:val="20"/>
              </w:rPr>
              <w:t xml:space="preserve"> C dla wszystkich pozycji odczynnikowych niezależnie od temperatury otoczenia.</w:t>
            </w:r>
          </w:p>
        </w:tc>
      </w:tr>
      <w:bookmarkEnd w:id="0"/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 xml:space="preserve">Chłodzenie na pokładzie analizatora kontroli, kalibratorów oraz próbek w rzeczywistej temperaturze  4 – 10 </w:t>
            </w:r>
            <w:proofErr w:type="spellStart"/>
            <w:r w:rsidRPr="00201155">
              <w:rPr>
                <w:rFonts w:asciiTheme="majorHAnsi" w:hAnsiTheme="majorHAnsi"/>
                <w:sz w:val="20"/>
                <w:szCs w:val="20"/>
              </w:rPr>
              <w:t>st</w:t>
            </w:r>
            <w:proofErr w:type="spellEnd"/>
            <w:r w:rsidRPr="00201155">
              <w:rPr>
                <w:rFonts w:asciiTheme="majorHAnsi" w:hAnsiTheme="majorHAnsi"/>
                <w:sz w:val="20"/>
                <w:szCs w:val="20"/>
              </w:rPr>
              <w:t xml:space="preserve"> C niezależnie od temperatury otoczenia 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 xml:space="preserve">Możliwość tworzenia profili badań 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Możliwość stałego monitorowania stanu wykonania oznaczeń na ekranie monitora.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Automatyczne rozcieńczanie próbek badanych po przekroczeniu liniowości  do co najmniej 1:120.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Analizator musi mieć wbudowany system kontroli jakości badań co najmniej w oparciu o następujące metody:</w:t>
            </w:r>
          </w:p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 xml:space="preserve">- wykresy </w:t>
            </w:r>
            <w:proofErr w:type="spellStart"/>
            <w:r w:rsidRPr="00201155">
              <w:rPr>
                <w:rFonts w:asciiTheme="majorHAnsi" w:hAnsiTheme="majorHAnsi"/>
                <w:sz w:val="20"/>
                <w:szCs w:val="20"/>
              </w:rPr>
              <w:t>Levey</w:t>
            </w:r>
            <w:proofErr w:type="spellEnd"/>
            <w:r w:rsidRPr="002011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01155">
              <w:rPr>
                <w:rFonts w:asciiTheme="majorHAnsi" w:hAnsiTheme="majorHAnsi"/>
                <w:sz w:val="20"/>
                <w:szCs w:val="20"/>
              </w:rPr>
              <w:t>Jenningsa</w:t>
            </w:r>
            <w:proofErr w:type="spellEnd"/>
            <w:r w:rsidRPr="00201155">
              <w:rPr>
                <w:rFonts w:asciiTheme="majorHAnsi" w:hAnsiTheme="majorHAnsi"/>
                <w:sz w:val="20"/>
                <w:szCs w:val="20"/>
              </w:rPr>
              <w:t xml:space="preserve"> (pojedyncze i podwójne: </w:t>
            </w:r>
            <w:proofErr w:type="spellStart"/>
            <w:r w:rsidRPr="00201155">
              <w:rPr>
                <w:rFonts w:asciiTheme="majorHAnsi" w:hAnsiTheme="majorHAnsi"/>
                <w:sz w:val="20"/>
                <w:szCs w:val="20"/>
              </w:rPr>
              <w:t>Twin</w:t>
            </w:r>
            <w:proofErr w:type="spellEnd"/>
            <w:r w:rsidRPr="00201155">
              <w:rPr>
                <w:rFonts w:asciiTheme="majorHAnsi" w:hAnsiTheme="majorHAnsi"/>
                <w:sz w:val="20"/>
                <w:szCs w:val="20"/>
              </w:rPr>
              <w:t xml:space="preserve"> Plot)</w:t>
            </w:r>
          </w:p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 xml:space="preserve">- reguły </w:t>
            </w:r>
            <w:proofErr w:type="spellStart"/>
            <w:r w:rsidRPr="00201155">
              <w:rPr>
                <w:rFonts w:asciiTheme="majorHAnsi" w:hAnsiTheme="majorHAnsi"/>
                <w:sz w:val="20"/>
                <w:szCs w:val="20"/>
              </w:rPr>
              <w:t>Westgarda</w:t>
            </w:r>
            <w:proofErr w:type="spellEnd"/>
            <w:r w:rsidRPr="0020115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Analizator musi zapewniać automatyczną archiwizację wyników oraz możliwość wykonywania zestawień statystycznych dziennych, miesięcznych, a także raportów kontroli jakości.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 xml:space="preserve">Możliwość drukowania wyników wraz z normami dla ludzi i zwierząt. możliwość ustawienia norm przez użytkownika. 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Możliwość współpracy z komputerem zewnętrznym oraz laboratoryjną siecią informatyczną: komunikacja dwukierunkowa.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Oprogramowanie sterujące pracą analizatora w języku polskim – zewnętrzny komputer z systemem operacyjnym. Monitor zewnętrzny min. 19” oraz zewnętrzna drukarka laserowa mono w formacie A4. System operacyjny musi być kompatybilny z posiadanym przez zamawiającego oprogramowaniem pracującym w systemie Windows 7/64 bit.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 xml:space="preserve">Zewnętrzny UPS umożliwiający podtrzymanie pracy analizatora przez co najmniej 20 minut w przypadku awarii zasilania z sieci elektrycznej. 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862286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3</w:t>
            </w:r>
            <w:r w:rsidR="0086228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745" w:type="pct"/>
          </w:tcPr>
          <w:p w:rsidR="00201155" w:rsidRPr="00201155" w:rsidRDefault="00201155" w:rsidP="002735C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Wszystkie wymagane parametry muszą być potwierdzone w formie pisemnej w postaci aktualnej ulotki opisującej analizator lub stosownego zapisu z instrukcji obsługi analizatora z podaniem numeru strony, dołączonych do oferty przetargowej.</w:t>
            </w:r>
          </w:p>
        </w:tc>
      </w:tr>
      <w:tr w:rsidR="00201155" w:rsidRPr="00201155" w:rsidTr="00201155">
        <w:tc>
          <w:tcPr>
            <w:tcW w:w="255" w:type="pct"/>
          </w:tcPr>
          <w:p w:rsidR="00201155" w:rsidRPr="00201155" w:rsidRDefault="00201155" w:rsidP="00862286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>3</w:t>
            </w:r>
            <w:r w:rsidR="00862286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745" w:type="pct"/>
          </w:tcPr>
          <w:p w:rsidR="00201155" w:rsidRPr="00201155" w:rsidRDefault="00201155" w:rsidP="00A872F2">
            <w:pPr>
              <w:rPr>
                <w:rFonts w:asciiTheme="majorHAnsi" w:hAnsiTheme="majorHAnsi"/>
                <w:sz w:val="20"/>
                <w:szCs w:val="20"/>
              </w:rPr>
            </w:pPr>
            <w:r w:rsidRPr="00201155">
              <w:rPr>
                <w:rFonts w:asciiTheme="majorHAnsi" w:hAnsiTheme="majorHAnsi"/>
                <w:sz w:val="20"/>
                <w:szCs w:val="20"/>
              </w:rPr>
              <w:t xml:space="preserve">Analizator musi być wyposażony w  pełni </w:t>
            </w:r>
            <w:proofErr w:type="spellStart"/>
            <w:r w:rsidRPr="00201155">
              <w:rPr>
                <w:rFonts w:asciiTheme="majorHAnsi" w:hAnsiTheme="majorHAnsi"/>
                <w:sz w:val="20"/>
                <w:szCs w:val="20"/>
              </w:rPr>
              <w:t>zwalidowany</w:t>
            </w:r>
            <w:proofErr w:type="spellEnd"/>
            <w:r w:rsidRPr="00201155">
              <w:rPr>
                <w:rFonts w:asciiTheme="majorHAnsi" w:hAnsiTheme="majorHAnsi"/>
                <w:sz w:val="20"/>
                <w:szCs w:val="20"/>
              </w:rPr>
              <w:t xml:space="preserve"> startowy zestaw odczynników: </w:t>
            </w:r>
            <w:proofErr w:type="spellStart"/>
            <w:r w:rsidRPr="00201155">
              <w:rPr>
                <w:rFonts w:asciiTheme="majorHAnsi" w:hAnsiTheme="majorHAnsi"/>
                <w:sz w:val="20"/>
                <w:szCs w:val="20"/>
              </w:rPr>
              <w:t>Alat</w:t>
            </w:r>
            <w:proofErr w:type="spellEnd"/>
            <w:r w:rsidRPr="00201155">
              <w:rPr>
                <w:rFonts w:asciiTheme="majorHAnsi" w:hAnsiTheme="majorHAnsi"/>
                <w:sz w:val="20"/>
                <w:szCs w:val="20"/>
              </w:rPr>
              <w:t xml:space="preserve">, glukoza metodą </w:t>
            </w:r>
            <w:proofErr w:type="spellStart"/>
            <w:r w:rsidRPr="00201155">
              <w:rPr>
                <w:rFonts w:asciiTheme="majorHAnsi" w:hAnsiTheme="majorHAnsi"/>
                <w:sz w:val="20"/>
                <w:szCs w:val="20"/>
              </w:rPr>
              <w:t>hexokinazową</w:t>
            </w:r>
            <w:proofErr w:type="spellEnd"/>
            <w:r w:rsidRPr="00201155">
              <w:rPr>
                <w:rFonts w:asciiTheme="majorHAnsi" w:hAnsiTheme="majorHAnsi"/>
                <w:sz w:val="20"/>
                <w:szCs w:val="20"/>
              </w:rPr>
              <w:t xml:space="preserve">, bilirubina metodą wanadową, wapń metodą </w:t>
            </w:r>
            <w:proofErr w:type="spellStart"/>
            <w:r w:rsidRPr="00201155">
              <w:rPr>
                <w:rFonts w:asciiTheme="majorHAnsi" w:hAnsiTheme="majorHAnsi"/>
                <w:sz w:val="20"/>
                <w:szCs w:val="20"/>
              </w:rPr>
              <w:t>arsenazo</w:t>
            </w:r>
            <w:proofErr w:type="spellEnd"/>
            <w:r w:rsidRPr="00201155">
              <w:rPr>
                <w:rFonts w:asciiTheme="majorHAnsi" w:hAnsiTheme="majorHAnsi"/>
                <w:sz w:val="20"/>
                <w:szCs w:val="20"/>
              </w:rPr>
              <w:t xml:space="preserve"> oraz </w:t>
            </w:r>
            <w:proofErr w:type="spellStart"/>
            <w:r w:rsidRPr="00201155">
              <w:rPr>
                <w:rFonts w:asciiTheme="majorHAnsi" w:hAnsiTheme="majorHAnsi"/>
                <w:sz w:val="20"/>
                <w:szCs w:val="20"/>
              </w:rPr>
              <w:t>multikalibrator</w:t>
            </w:r>
            <w:proofErr w:type="spellEnd"/>
            <w:r w:rsidRPr="00201155">
              <w:rPr>
                <w:rFonts w:asciiTheme="majorHAnsi" w:hAnsiTheme="majorHAnsi"/>
                <w:sz w:val="20"/>
                <w:szCs w:val="20"/>
              </w:rPr>
              <w:t xml:space="preserve"> na dwóch poziomach, HBDH, CK-MB, D-dimer oraz surowice kontrolne.</w:t>
            </w:r>
          </w:p>
        </w:tc>
      </w:tr>
    </w:tbl>
    <w:p w:rsidR="00D80A2F" w:rsidRDefault="00D80A2F" w:rsidP="00D80A2F"/>
    <w:p w:rsidR="002D6392" w:rsidRDefault="002D6392"/>
    <w:sectPr w:rsidR="002D6392" w:rsidSect="000C692B">
      <w:headerReference w:type="default" r:id="rId8"/>
      <w:footerReference w:type="default" r:id="rId9"/>
      <w:pgSz w:w="11906" w:h="16838"/>
      <w:pgMar w:top="1417" w:right="1417" w:bottom="1417" w:left="1417" w:header="284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55" w:rsidRDefault="00201155" w:rsidP="00201155">
      <w:pPr>
        <w:spacing w:after="0" w:line="240" w:lineRule="auto"/>
      </w:pPr>
      <w:r>
        <w:separator/>
      </w:r>
    </w:p>
  </w:endnote>
  <w:endnote w:type="continuationSeparator" w:id="0">
    <w:p w:rsidR="00201155" w:rsidRDefault="00201155" w:rsidP="0020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2B" w:rsidRPr="00900553" w:rsidRDefault="000C692B" w:rsidP="000C692B">
    <w:pPr>
      <w:pStyle w:val="Stopka"/>
      <w:jc w:val="right"/>
      <w:rPr>
        <w:rFonts w:ascii="Cambria" w:hAnsi="Cambria"/>
        <w:sz w:val="18"/>
        <w:szCs w:val="18"/>
      </w:rPr>
    </w:pPr>
    <w:r w:rsidRPr="00900553">
      <w:rPr>
        <w:rFonts w:ascii="Cambria" w:hAnsi="Cambria"/>
        <w:sz w:val="18"/>
        <w:szCs w:val="18"/>
      </w:rPr>
      <w:fldChar w:fldCharType="begin"/>
    </w:r>
    <w:r w:rsidRPr="00900553">
      <w:rPr>
        <w:rFonts w:ascii="Cambria" w:hAnsi="Cambria"/>
        <w:sz w:val="18"/>
        <w:szCs w:val="18"/>
      </w:rPr>
      <w:instrText xml:space="preserve"> PAGE   \* MERGEFORMAT </w:instrText>
    </w:r>
    <w:r w:rsidRPr="00900553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1</w:t>
    </w:r>
    <w:r w:rsidRPr="00900553">
      <w:rPr>
        <w:rFonts w:ascii="Cambria" w:hAnsi="Cambria"/>
        <w:sz w:val="18"/>
        <w:szCs w:val="18"/>
      </w:rPr>
      <w:fldChar w:fldCharType="end"/>
    </w:r>
  </w:p>
  <w:p w:rsidR="000C692B" w:rsidRPr="005A3755" w:rsidRDefault="000C692B" w:rsidP="000C692B">
    <w:pPr>
      <w:pStyle w:val="Stopka"/>
      <w:jc w:val="right"/>
      <w:rPr>
        <w:rFonts w:ascii="Cambria" w:hAnsi="Cambria"/>
        <w:b/>
        <w:color w:val="244061"/>
        <w:sz w:val="18"/>
        <w:szCs w:val="18"/>
      </w:rPr>
    </w:pPr>
    <w:r w:rsidRPr="005A3755">
      <w:rPr>
        <w:rFonts w:ascii="Cambria" w:hAnsi="Cambria"/>
        <w:b/>
        <w:color w:val="244061"/>
        <w:sz w:val="18"/>
        <w:szCs w:val="18"/>
      </w:rPr>
      <w:pict>
        <v:rect id="_x0000_i1026" style="width:496.1pt;height:1pt" o:hralign="center" o:hrstd="t" o:hrnoshade="t" o:hr="t" fillcolor="#243f60" stroked="f"/>
      </w:pict>
    </w:r>
  </w:p>
  <w:p w:rsidR="000C692B" w:rsidRPr="005A3755" w:rsidRDefault="000C692B" w:rsidP="000C692B">
    <w:pPr>
      <w:pStyle w:val="Stopka"/>
      <w:jc w:val="center"/>
      <w:rPr>
        <w:rFonts w:ascii="Cambria" w:hAnsi="Cambria"/>
        <w:i/>
        <w:color w:val="244061"/>
      </w:rPr>
    </w:pPr>
    <w:r w:rsidRPr="005A3755">
      <w:rPr>
        <w:rFonts w:ascii="Cambria" w:hAnsi="Cambria"/>
        <w:b/>
        <w:i/>
        <w:color w:val="244061"/>
        <w:sz w:val="18"/>
        <w:szCs w:val="18"/>
      </w:rPr>
      <w:t>Uniwersytet  Gdański,  Dział  Zamówień   Publicznych, 80-</w:t>
    </w:r>
    <w:r>
      <w:rPr>
        <w:rFonts w:ascii="Cambria" w:hAnsi="Cambria"/>
        <w:b/>
        <w:i/>
        <w:color w:val="244061"/>
        <w:sz w:val="18"/>
        <w:szCs w:val="18"/>
      </w:rPr>
      <w:t>309</w:t>
    </w:r>
    <w:r w:rsidRPr="005A3755">
      <w:rPr>
        <w:rFonts w:ascii="Cambria" w:hAnsi="Cambria"/>
        <w:b/>
        <w:i/>
        <w:color w:val="244061"/>
        <w:sz w:val="18"/>
        <w:szCs w:val="18"/>
      </w:rPr>
      <w:t xml:space="preserve">  Gdańsk, ul. </w:t>
    </w:r>
    <w:r>
      <w:rPr>
        <w:rFonts w:ascii="Cambria" w:hAnsi="Cambria"/>
        <w:b/>
        <w:i/>
        <w:color w:val="244061"/>
        <w:sz w:val="18"/>
        <w:szCs w:val="18"/>
      </w:rPr>
      <w:t xml:space="preserve">Jana </w:t>
    </w:r>
    <w:r>
      <w:rPr>
        <w:rFonts w:ascii="Cambria" w:hAnsi="Cambria"/>
        <w:b/>
        <w:i/>
        <w:color w:val="244061"/>
        <w:sz w:val="18"/>
        <w:szCs w:val="18"/>
      </w:rPr>
      <w:t>Bażyńskiego</w:t>
    </w:r>
    <w:r w:rsidRPr="005A3755">
      <w:rPr>
        <w:rFonts w:ascii="Cambria" w:hAnsi="Cambria"/>
        <w:b/>
        <w:i/>
        <w:color w:val="244061"/>
        <w:sz w:val="18"/>
        <w:szCs w:val="18"/>
      </w:rPr>
      <w:t xml:space="preserve"> 8,  </w:t>
    </w:r>
    <w:r>
      <w:rPr>
        <w:rFonts w:ascii="Cambria" w:hAnsi="Cambria"/>
        <w:b/>
        <w:i/>
        <w:color w:val="244061"/>
        <w:sz w:val="18"/>
        <w:szCs w:val="18"/>
      </w:rPr>
      <w:br/>
    </w:r>
    <w:r w:rsidRPr="005A3755">
      <w:rPr>
        <w:rFonts w:ascii="Cambria" w:hAnsi="Cambria"/>
        <w:b/>
        <w:i/>
        <w:color w:val="244061"/>
        <w:sz w:val="18"/>
        <w:szCs w:val="18"/>
      </w:rPr>
      <w:t>faks: 58 523 31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55" w:rsidRDefault="00201155" w:rsidP="00201155">
      <w:pPr>
        <w:spacing w:after="0" w:line="240" w:lineRule="auto"/>
      </w:pPr>
      <w:r>
        <w:separator/>
      </w:r>
    </w:p>
  </w:footnote>
  <w:footnote w:type="continuationSeparator" w:id="0">
    <w:p w:rsidR="00201155" w:rsidRDefault="00201155" w:rsidP="0020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5" w:rsidRPr="000C542A" w:rsidRDefault="00201155" w:rsidP="00201155">
    <w:pPr>
      <w:spacing w:after="0"/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załącznik nr 2.II</w:t>
    </w:r>
    <w:r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do SIWZ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-</w:t>
    </w:r>
    <w:r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postępowanie nr  A120-211-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108/16/MP</w:t>
    </w:r>
  </w:p>
  <w:p w:rsidR="00201155" w:rsidRPr="004C168F" w:rsidRDefault="000C692B" w:rsidP="00201155">
    <w:pPr>
      <w:spacing w:after="0"/>
      <w:jc w:val="center"/>
      <w:rPr>
        <w:b/>
        <w:i/>
        <w:noProof/>
        <w:color w:val="0F243E"/>
        <w:sz w:val="18"/>
        <w:szCs w:val="18"/>
        <w:lang w:eastAsia="pl-PL"/>
      </w:rPr>
    </w:pPr>
    <w:r>
      <w:rPr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92"/>
    <w:rsid w:val="0008247A"/>
    <w:rsid w:val="000C692B"/>
    <w:rsid w:val="00114AE7"/>
    <w:rsid w:val="00120A7E"/>
    <w:rsid w:val="0019329F"/>
    <w:rsid w:val="001E3A41"/>
    <w:rsid w:val="00201155"/>
    <w:rsid w:val="00203FA7"/>
    <w:rsid w:val="002D6392"/>
    <w:rsid w:val="003021BA"/>
    <w:rsid w:val="00320B99"/>
    <w:rsid w:val="00327128"/>
    <w:rsid w:val="00350047"/>
    <w:rsid w:val="003764F5"/>
    <w:rsid w:val="003D18C6"/>
    <w:rsid w:val="00455895"/>
    <w:rsid w:val="00460DA8"/>
    <w:rsid w:val="005440D8"/>
    <w:rsid w:val="006402B1"/>
    <w:rsid w:val="006450ED"/>
    <w:rsid w:val="006876BA"/>
    <w:rsid w:val="00691053"/>
    <w:rsid w:val="00714966"/>
    <w:rsid w:val="00850E90"/>
    <w:rsid w:val="00862286"/>
    <w:rsid w:val="00866D48"/>
    <w:rsid w:val="008A78D1"/>
    <w:rsid w:val="008E4EE2"/>
    <w:rsid w:val="00980790"/>
    <w:rsid w:val="00A24BE4"/>
    <w:rsid w:val="00A872F2"/>
    <w:rsid w:val="00B34DB1"/>
    <w:rsid w:val="00BF2880"/>
    <w:rsid w:val="00C73CBC"/>
    <w:rsid w:val="00C94962"/>
    <w:rsid w:val="00CB072B"/>
    <w:rsid w:val="00D80A2F"/>
    <w:rsid w:val="00DD6790"/>
    <w:rsid w:val="00E308FE"/>
    <w:rsid w:val="00E331EE"/>
    <w:rsid w:val="00EE09FF"/>
    <w:rsid w:val="00F80BC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8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155"/>
  </w:style>
  <w:style w:type="paragraph" w:styleId="Stopka">
    <w:name w:val="footer"/>
    <w:basedOn w:val="Normalny"/>
    <w:link w:val="StopkaZnak"/>
    <w:uiPriority w:val="99"/>
    <w:unhideWhenUsed/>
    <w:rsid w:val="0020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155"/>
  </w:style>
  <w:style w:type="paragraph" w:styleId="Tekstpodstawowywcity">
    <w:name w:val="Body Text Indent"/>
    <w:basedOn w:val="Normalny"/>
    <w:link w:val="TekstpodstawowywcityZnak"/>
    <w:uiPriority w:val="99"/>
    <w:semiHidden/>
    <w:rsid w:val="0020115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1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8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155"/>
  </w:style>
  <w:style w:type="paragraph" w:styleId="Stopka">
    <w:name w:val="footer"/>
    <w:basedOn w:val="Normalny"/>
    <w:link w:val="StopkaZnak"/>
    <w:uiPriority w:val="99"/>
    <w:unhideWhenUsed/>
    <w:rsid w:val="0020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155"/>
  </w:style>
  <w:style w:type="paragraph" w:styleId="Tekstpodstawowywcity">
    <w:name w:val="Body Text Indent"/>
    <w:basedOn w:val="Normalny"/>
    <w:link w:val="TekstpodstawowywcityZnak"/>
    <w:uiPriority w:val="99"/>
    <w:semiHidden/>
    <w:rsid w:val="0020115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1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1DDB-01C4-434F-A029-DD422034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Magdalena Pietruszewska</cp:lastModifiedBy>
  <cp:revision>6</cp:revision>
  <cp:lastPrinted>2016-06-06T08:31:00Z</cp:lastPrinted>
  <dcterms:created xsi:type="dcterms:W3CDTF">2016-06-22T12:08:00Z</dcterms:created>
  <dcterms:modified xsi:type="dcterms:W3CDTF">2016-06-23T11:11:00Z</dcterms:modified>
</cp:coreProperties>
</file>